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D3662" w14:textId="77777777" w:rsidR="0069570A" w:rsidRDefault="0069570A">
      <w:pPr>
        <w:jc w:val="center"/>
        <w:rPr>
          <w:b/>
          <w:lang w:val="el-GR"/>
        </w:rPr>
      </w:pPr>
    </w:p>
    <w:p w14:paraId="0F0BF265" w14:textId="57046DD6" w:rsidR="0069570A" w:rsidRDefault="00D61491">
      <w:pPr>
        <w:rPr>
          <w:rFonts w:asciiTheme="minorHAnsi" w:hAnsiTheme="minorHAnsi"/>
          <w:b/>
          <w:color w:val="1F4E79" w:themeColor="accent5" w:themeShade="80"/>
          <w:sz w:val="20"/>
          <w:szCs w:val="20"/>
          <w:lang w:val="el-GR"/>
        </w:rPr>
      </w:pPr>
      <w:r>
        <w:rPr>
          <w:rFonts w:asciiTheme="minorHAnsi" w:hAnsiTheme="minorHAnsi"/>
          <w:b/>
          <w:noProof/>
          <w:color w:val="1F4E79" w:themeColor="accent5" w:themeShade="80"/>
          <w:sz w:val="20"/>
          <w:szCs w:val="20"/>
          <w:lang w:val="el-GR"/>
        </w:rPr>
        <w:drawing>
          <wp:anchor distT="0" distB="0" distL="114300" distR="114300" simplePos="0" relativeHeight="251658240" behindDoc="1" locked="0" layoutInCell="1" allowOverlap="1" wp14:anchorId="5FF68ED8" wp14:editId="725E994C">
            <wp:simplePos x="0" y="0"/>
            <wp:positionH relativeFrom="column">
              <wp:posOffset>0</wp:posOffset>
            </wp:positionH>
            <wp:positionV relativeFrom="paragraph">
              <wp:posOffset>-1839</wp:posOffset>
            </wp:positionV>
            <wp:extent cx="780393" cy="780393"/>
            <wp:effectExtent l="0" t="0" r="1270" b="127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rsonissos-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0393" cy="780393"/>
                    </a:xfrm>
                    <a:prstGeom prst="rect">
                      <a:avLst/>
                    </a:prstGeom>
                  </pic:spPr>
                </pic:pic>
              </a:graphicData>
            </a:graphic>
          </wp:anchor>
        </w:drawing>
      </w:r>
    </w:p>
    <w:p w14:paraId="585EC749" w14:textId="77777777" w:rsidR="0069570A" w:rsidRDefault="0069570A">
      <w:pPr>
        <w:rPr>
          <w:rFonts w:asciiTheme="minorHAnsi" w:hAnsiTheme="minorHAnsi"/>
          <w:b/>
          <w:color w:val="1F4E79" w:themeColor="accent5" w:themeShade="80"/>
          <w:sz w:val="20"/>
          <w:szCs w:val="20"/>
          <w:lang w:val="el-GR"/>
        </w:rPr>
      </w:pPr>
    </w:p>
    <w:p w14:paraId="2A574180" w14:textId="322850D8" w:rsidR="0069570A" w:rsidRDefault="00D61491" w:rsidP="00D61491">
      <w:pPr>
        <w:jc w:val="center"/>
        <w:rPr>
          <w:rFonts w:asciiTheme="minorHAnsi" w:hAnsiTheme="minorHAnsi"/>
          <w:b/>
          <w:color w:val="1F4E79" w:themeColor="accent5" w:themeShade="80"/>
          <w:sz w:val="20"/>
          <w:szCs w:val="20"/>
          <w:lang w:val="el-GR"/>
        </w:rPr>
      </w:pPr>
      <w:r>
        <w:rPr>
          <w:rFonts w:asciiTheme="minorHAnsi" w:hAnsiTheme="minorHAnsi"/>
          <w:b/>
          <w:color w:val="1F4E79" w:themeColor="accent5" w:themeShade="80"/>
          <w:sz w:val="20"/>
          <w:szCs w:val="20"/>
          <w:lang w:val="el-GR"/>
        </w:rPr>
        <w:t>ΑΡΧΙΚΟ ΣΥΜΦΩΝΟ ΣΥΜΜΕΤΟΧΗΣ ΦΟΡΕΩΝ ΣΤΟ ΣΒΑΚ</w:t>
      </w:r>
    </w:p>
    <w:p w14:paraId="70789826" w14:textId="3A71B598" w:rsidR="0069570A" w:rsidRPr="00D61491" w:rsidRDefault="00D61491">
      <w:pPr>
        <w:jc w:val="center"/>
        <w:rPr>
          <w:rFonts w:asciiTheme="minorHAnsi" w:hAnsiTheme="minorHAnsi"/>
          <w:b/>
          <w:color w:val="1F4E79" w:themeColor="accent5" w:themeShade="80"/>
          <w:sz w:val="20"/>
          <w:szCs w:val="20"/>
          <w:lang w:val="el-GR"/>
        </w:rPr>
      </w:pPr>
      <w:r>
        <w:rPr>
          <w:rFonts w:asciiTheme="minorHAnsi" w:hAnsiTheme="minorHAnsi"/>
          <w:b/>
          <w:color w:val="1F4E79" w:themeColor="accent5" w:themeShade="80"/>
          <w:sz w:val="20"/>
          <w:szCs w:val="20"/>
          <w:lang w:val="el-GR"/>
        </w:rPr>
        <w:t>ΔΗΜΟΥ ΧΕΡΣΟΝΗΣΟΥ</w:t>
      </w:r>
    </w:p>
    <w:p w14:paraId="5D71E30A" w14:textId="77777777" w:rsidR="0069570A" w:rsidRDefault="0069570A">
      <w:pPr>
        <w:jc w:val="both"/>
        <w:rPr>
          <w:rFonts w:asciiTheme="minorHAnsi" w:hAnsiTheme="minorHAnsi"/>
          <w:color w:val="1F4E79" w:themeColor="accent5" w:themeShade="80"/>
          <w:sz w:val="20"/>
          <w:szCs w:val="20"/>
          <w:lang w:val="el-GR"/>
        </w:rPr>
      </w:pPr>
    </w:p>
    <w:p w14:paraId="0165403A" w14:textId="77777777" w:rsidR="00D61491" w:rsidRDefault="00D61491">
      <w:pPr>
        <w:jc w:val="both"/>
        <w:rPr>
          <w:rFonts w:asciiTheme="minorHAnsi" w:hAnsiTheme="minorHAnsi"/>
          <w:b/>
          <w:color w:val="1F4E79" w:themeColor="accent5" w:themeShade="80"/>
          <w:sz w:val="20"/>
          <w:szCs w:val="20"/>
          <w:u w:val="single"/>
          <w:lang w:val="el-GR"/>
        </w:rPr>
      </w:pPr>
    </w:p>
    <w:p w14:paraId="35F7721F" w14:textId="77777777" w:rsidR="00D61491" w:rsidRDefault="00D61491">
      <w:pPr>
        <w:jc w:val="both"/>
        <w:rPr>
          <w:rFonts w:asciiTheme="minorHAnsi" w:hAnsiTheme="minorHAnsi"/>
          <w:b/>
          <w:color w:val="1F4E79" w:themeColor="accent5" w:themeShade="80"/>
          <w:sz w:val="20"/>
          <w:szCs w:val="20"/>
          <w:u w:val="single"/>
          <w:lang w:val="el-GR"/>
        </w:rPr>
      </w:pPr>
    </w:p>
    <w:p w14:paraId="751FCC93" w14:textId="245D9A5C" w:rsidR="0069570A" w:rsidRDefault="00D61491">
      <w:pPr>
        <w:jc w:val="both"/>
        <w:rPr>
          <w:rFonts w:asciiTheme="minorHAnsi" w:hAnsiTheme="minorHAnsi"/>
          <w:b/>
          <w:color w:val="1F4E79" w:themeColor="accent5" w:themeShade="80"/>
          <w:sz w:val="20"/>
          <w:szCs w:val="20"/>
          <w:u w:val="single"/>
          <w:lang w:val="el-GR"/>
        </w:rPr>
      </w:pPr>
      <w:r>
        <w:rPr>
          <w:rFonts w:asciiTheme="minorHAnsi" w:hAnsiTheme="minorHAnsi"/>
          <w:b/>
          <w:color w:val="1F4E79" w:themeColor="accent5" w:themeShade="80"/>
          <w:sz w:val="20"/>
          <w:szCs w:val="20"/>
          <w:u w:val="single"/>
          <w:lang w:val="el-GR"/>
        </w:rPr>
        <w:t>Προοίμιο</w:t>
      </w:r>
    </w:p>
    <w:p w14:paraId="5FF80A5A" w14:textId="77777777" w:rsidR="0069570A" w:rsidRDefault="0069570A">
      <w:pPr>
        <w:pStyle w:val="font7"/>
        <w:spacing w:beforeAutospacing="0" w:afterAutospacing="0"/>
        <w:jc w:val="both"/>
        <w:textAlignment w:val="baseline"/>
        <w:rPr>
          <w:rFonts w:asciiTheme="minorHAnsi" w:hAnsiTheme="minorHAnsi"/>
          <w:color w:val="1F4E79" w:themeColor="accent5" w:themeShade="80"/>
          <w:sz w:val="20"/>
          <w:szCs w:val="20"/>
          <w:lang w:val="el-GR"/>
        </w:rPr>
      </w:pPr>
    </w:p>
    <w:p w14:paraId="49B20EB6" w14:textId="77777777" w:rsidR="0069570A" w:rsidRDefault="00D61491">
      <w:pPr>
        <w:pStyle w:val="font7"/>
        <w:spacing w:beforeAutospacing="0" w:afterAutospacing="0"/>
        <w:jc w:val="both"/>
        <w:textAlignment w:val="baseline"/>
        <w:rPr>
          <w:rFonts w:asciiTheme="minorHAnsi" w:hAnsiTheme="minorHAnsi"/>
          <w:color w:val="1F4E79" w:themeColor="accent5" w:themeShade="80"/>
          <w:sz w:val="20"/>
          <w:szCs w:val="20"/>
          <w:lang w:val="el-GR"/>
        </w:rPr>
      </w:pPr>
      <w:r>
        <w:rPr>
          <w:rFonts w:asciiTheme="minorHAnsi" w:hAnsiTheme="minorHAnsi"/>
          <w:color w:val="1F4E79" w:themeColor="accent5" w:themeShade="80"/>
          <w:sz w:val="20"/>
          <w:szCs w:val="20"/>
          <w:lang w:val="el-GR"/>
        </w:rPr>
        <w:t xml:space="preserve">Ο όρος </w:t>
      </w:r>
      <w:r>
        <w:rPr>
          <w:rFonts w:asciiTheme="minorHAnsi" w:hAnsiTheme="minorHAnsi"/>
          <w:i/>
          <w:color w:val="1F4E79" w:themeColor="accent5" w:themeShade="80"/>
          <w:sz w:val="20"/>
          <w:szCs w:val="20"/>
          <w:lang w:val="el-GR"/>
        </w:rPr>
        <w:t>κινητικότητα</w:t>
      </w:r>
      <w:r>
        <w:rPr>
          <w:rFonts w:asciiTheme="minorHAnsi" w:hAnsiTheme="minorHAnsi"/>
          <w:color w:val="1F4E79" w:themeColor="accent5" w:themeShade="80"/>
          <w:sz w:val="20"/>
          <w:szCs w:val="20"/>
          <w:lang w:val="el-GR"/>
        </w:rPr>
        <w:t xml:space="preserve"> περιγράφει μια εικόνα μετακινήσεων βιώσιμων, άνετων, αποτελεσματικών, ασφαλών και ευχάριστων. Ο όρος εμπεριέχει ένα βασικό τρίπτυχο: </w:t>
      </w:r>
      <w:r>
        <w:rPr>
          <w:rFonts w:asciiTheme="minorHAnsi" w:hAnsiTheme="minorHAnsi"/>
          <w:i/>
          <w:color w:val="1F4E79" w:themeColor="accent5" w:themeShade="80"/>
          <w:sz w:val="20"/>
          <w:szCs w:val="20"/>
          <w:lang w:val="el-GR"/>
        </w:rPr>
        <w:t>μεταφορά-μετακίνηση-προσβασιμότητα</w:t>
      </w:r>
      <w:r>
        <w:rPr>
          <w:rFonts w:asciiTheme="minorHAnsi" w:hAnsiTheme="minorHAnsi"/>
          <w:color w:val="1F4E79" w:themeColor="accent5" w:themeShade="80"/>
          <w:sz w:val="20"/>
          <w:szCs w:val="20"/>
          <w:lang w:val="el-GR"/>
        </w:rPr>
        <w:t xml:space="preserve">. Συνοδεύεται κατά κανόνα επίσης από τον όρο βιώσιμη, για να υπογραμμιστεί η έμφαση σε βιώσιμους τρόπους μετακίνησης όπως </w:t>
      </w:r>
      <w:r>
        <w:rPr>
          <w:rFonts w:asciiTheme="minorHAnsi" w:hAnsiTheme="minorHAnsi"/>
          <w:b/>
          <w:color w:val="1F4E79" w:themeColor="accent5" w:themeShade="80"/>
          <w:sz w:val="20"/>
          <w:szCs w:val="20"/>
          <w:lang w:val="el-GR"/>
        </w:rPr>
        <w:t>το περπάτημα, το ποδήλατο και η δημόσια συγκοινωνία</w:t>
      </w:r>
      <w:r>
        <w:rPr>
          <w:rFonts w:asciiTheme="minorHAnsi" w:hAnsiTheme="minorHAnsi"/>
          <w:color w:val="1F4E79" w:themeColor="accent5" w:themeShade="80"/>
          <w:sz w:val="20"/>
          <w:szCs w:val="20"/>
          <w:lang w:val="el-GR"/>
        </w:rPr>
        <w:t>.</w:t>
      </w:r>
    </w:p>
    <w:p w14:paraId="4EEB4B29" w14:textId="77777777" w:rsidR="0069570A" w:rsidRDefault="0069570A">
      <w:pPr>
        <w:jc w:val="both"/>
        <w:rPr>
          <w:rFonts w:asciiTheme="minorHAnsi" w:hAnsiTheme="minorHAnsi"/>
          <w:color w:val="1F4E79" w:themeColor="accent5" w:themeShade="80"/>
          <w:sz w:val="20"/>
          <w:szCs w:val="20"/>
          <w:lang w:val="el-GR"/>
        </w:rPr>
      </w:pPr>
    </w:p>
    <w:p w14:paraId="33AF4514" w14:textId="77777777" w:rsidR="0069570A" w:rsidRDefault="00D61491">
      <w:pPr>
        <w:jc w:val="both"/>
        <w:rPr>
          <w:rFonts w:asciiTheme="minorHAnsi" w:hAnsiTheme="minorHAnsi"/>
          <w:color w:val="1F4E79" w:themeColor="accent5" w:themeShade="80"/>
          <w:sz w:val="20"/>
          <w:szCs w:val="20"/>
          <w:lang w:val="el-GR"/>
        </w:rPr>
      </w:pPr>
      <w:r>
        <w:rPr>
          <w:rFonts w:asciiTheme="minorHAnsi" w:hAnsiTheme="minorHAnsi"/>
          <w:color w:val="1F4E79" w:themeColor="accent5" w:themeShade="80"/>
          <w:sz w:val="20"/>
          <w:szCs w:val="20"/>
          <w:lang w:val="el-GR"/>
        </w:rPr>
        <w:t xml:space="preserve">Τα Σχέδια Βιώσιμης Αστικής Κινητικότητας (ΣΒΑΚ) αναδεικνύονται ως </w:t>
      </w:r>
      <w:r>
        <w:rPr>
          <w:rFonts w:asciiTheme="minorHAnsi" w:hAnsiTheme="minorHAnsi"/>
          <w:i/>
          <w:color w:val="1F4E79" w:themeColor="accent5" w:themeShade="80"/>
          <w:sz w:val="20"/>
          <w:szCs w:val="20"/>
          <w:lang w:val="el-GR"/>
        </w:rPr>
        <w:t>μια νέα ολοκληρωμένη και μακροπρόθεσμη προσέγγιση σχεδιασμού της αστικής κινητικότητας, που επιτρέπει στις τοπικές αρχές να αναπτύσσουν και υλοποιούν στρατηγικές αστικής κινητικότητας στη βάση εμπεριστατωμένων αναλύσεων της υφιστάμενης κατάστασης</w:t>
      </w:r>
      <w:r>
        <w:rPr>
          <w:rFonts w:asciiTheme="minorHAnsi" w:hAnsiTheme="minorHAnsi"/>
          <w:color w:val="1F4E79" w:themeColor="accent5" w:themeShade="80"/>
          <w:sz w:val="20"/>
          <w:szCs w:val="20"/>
          <w:lang w:val="el-GR"/>
        </w:rPr>
        <w:t>. Τα ΣΒΑΚ επιτρέπουν μια σαφή θεώρηση για τη βιώσιμη ανάπτυξη των αστικών περιοχών για τις οποίες σχεδιάζονται και η οποία περιλαμβάνει τη μείωση της κατανάλωσης ενέργειας, της ατμοσφαιρικής ρύπανσης και της ηχορρύπανσης, του αριθμού ατυχημάτων, της κυκλοφοριακής συμφόρησης, τη διαφύλαξη των κοινόχρηστων χώρων κ.ά..</w:t>
      </w:r>
    </w:p>
    <w:p w14:paraId="65F9DA4B" w14:textId="77777777" w:rsidR="0069570A" w:rsidRDefault="0069570A">
      <w:pPr>
        <w:jc w:val="both"/>
        <w:rPr>
          <w:rFonts w:asciiTheme="minorHAnsi" w:hAnsiTheme="minorHAnsi"/>
          <w:color w:val="1F4E79" w:themeColor="accent5" w:themeShade="80"/>
          <w:sz w:val="20"/>
          <w:szCs w:val="20"/>
          <w:lang w:val="el-GR"/>
        </w:rPr>
      </w:pPr>
    </w:p>
    <w:p w14:paraId="3D385AC5" w14:textId="77777777" w:rsidR="0069570A" w:rsidRDefault="00D61491">
      <w:pPr>
        <w:jc w:val="both"/>
        <w:rPr>
          <w:rFonts w:asciiTheme="minorHAnsi" w:hAnsiTheme="minorHAnsi"/>
          <w:b/>
          <w:color w:val="1F4E79" w:themeColor="accent5" w:themeShade="80"/>
          <w:sz w:val="20"/>
          <w:szCs w:val="20"/>
          <w:u w:val="single"/>
          <w:lang w:val="el-GR"/>
        </w:rPr>
      </w:pPr>
      <w:r>
        <w:rPr>
          <w:rFonts w:asciiTheme="minorHAnsi" w:hAnsiTheme="minorHAnsi"/>
          <w:b/>
          <w:color w:val="1F4E79" w:themeColor="accent5" w:themeShade="80"/>
          <w:sz w:val="20"/>
          <w:szCs w:val="20"/>
          <w:u w:val="single"/>
          <w:lang w:val="el-GR"/>
        </w:rPr>
        <w:t>Κείμενο Αρχικής Συμφωνίας Συμμετοχής</w:t>
      </w:r>
    </w:p>
    <w:p w14:paraId="35FF0425" w14:textId="77777777" w:rsidR="0069570A" w:rsidRDefault="0069570A">
      <w:pPr>
        <w:jc w:val="both"/>
        <w:rPr>
          <w:rFonts w:asciiTheme="minorHAnsi" w:hAnsiTheme="minorHAnsi"/>
          <w:color w:val="1F4E79" w:themeColor="accent5" w:themeShade="80"/>
          <w:sz w:val="20"/>
          <w:szCs w:val="20"/>
          <w:lang w:val="el-GR"/>
        </w:rPr>
      </w:pPr>
    </w:p>
    <w:p w14:paraId="134ECB59" w14:textId="76DCFB39" w:rsidR="0069570A" w:rsidRDefault="00D61491">
      <w:pPr>
        <w:jc w:val="both"/>
        <w:rPr>
          <w:rFonts w:asciiTheme="minorHAnsi" w:hAnsiTheme="minorHAnsi"/>
          <w:color w:val="1F4E79" w:themeColor="accent5" w:themeShade="80"/>
          <w:sz w:val="20"/>
          <w:szCs w:val="20"/>
          <w:lang w:val="el-GR"/>
        </w:rPr>
      </w:pPr>
      <w:r>
        <w:rPr>
          <w:rFonts w:asciiTheme="minorHAnsi" w:hAnsiTheme="minorHAnsi"/>
          <w:color w:val="1F4E79" w:themeColor="accent5" w:themeShade="80"/>
          <w:sz w:val="20"/>
          <w:szCs w:val="20"/>
          <w:lang w:val="el-GR"/>
        </w:rPr>
        <w:t>Οι υπογράφοντες το παρόν Σύμφωνο εκπρόσωποι φορέων, θεσμικοί κάθε βαθμίδας και μη – θεσμικοί, που είναι σχετικοί με τις μετακινήσεις πολιτών και επισκεπτών και με τις μεταφορές προϊόντων στο Δήμο Χερσονήσου, συμφωνούμε στα παρακάτω:</w:t>
      </w:r>
    </w:p>
    <w:p w14:paraId="50DBC8E2" w14:textId="4CF71F95" w:rsidR="0069570A" w:rsidRDefault="00D61491">
      <w:pPr>
        <w:pStyle w:val="a8"/>
        <w:numPr>
          <w:ilvl w:val="0"/>
          <w:numId w:val="3"/>
        </w:numPr>
        <w:jc w:val="both"/>
        <w:rPr>
          <w:rFonts w:asciiTheme="minorHAnsi" w:hAnsiTheme="minorHAnsi"/>
          <w:color w:val="1F4E79" w:themeColor="accent5" w:themeShade="80"/>
          <w:sz w:val="20"/>
          <w:szCs w:val="20"/>
          <w:lang w:val="el-GR"/>
        </w:rPr>
      </w:pPr>
      <w:r>
        <w:rPr>
          <w:rFonts w:asciiTheme="minorHAnsi" w:hAnsiTheme="minorHAnsi"/>
          <w:color w:val="1F4E79" w:themeColor="accent5" w:themeShade="80"/>
          <w:sz w:val="20"/>
          <w:szCs w:val="20"/>
          <w:lang w:val="el-GR"/>
        </w:rPr>
        <w:t>Συμφωνούμε να δράσουμε συντονισμένα, συλλογικά και συνεργατικά για τα επόμενα 2 χρόνια  και σε συνεχή διαβούλευση με τους πολίτες και τους κοινωνικούς και οικονομικούς εταίρους του δήμου μας, ώστε οι μετακινήσεις και υπηρεσίες που σχεδιάζονται, να εξασφαλίζουν και ικανοποιούν παράλληλα και ισόρροπα τους παρακάτω δύο βασικούς άξονες – στόχους της Βιώσιμης Ανάπτυξης και της Βιώσιμης Κινητικότητας, να υπηρετούν τις Πολεοδομικές Πολιτικές και να σέβονται τις ευαισθησίες των Δημόσιων Χώρων του Δήμου Χερσονήσου:</w:t>
      </w:r>
    </w:p>
    <w:p w14:paraId="1AB65EBF" w14:textId="77777777" w:rsidR="0069570A" w:rsidRDefault="0069570A">
      <w:pPr>
        <w:jc w:val="both"/>
        <w:rPr>
          <w:rFonts w:asciiTheme="minorHAnsi" w:hAnsiTheme="minorHAnsi"/>
          <w:color w:val="1F4E79" w:themeColor="accent5" w:themeShade="80"/>
          <w:sz w:val="20"/>
          <w:szCs w:val="20"/>
          <w:lang w:val="el-GR"/>
        </w:rPr>
      </w:pPr>
    </w:p>
    <w:p w14:paraId="615D744A" w14:textId="77777777" w:rsidR="0069570A" w:rsidRDefault="00D61491">
      <w:pPr>
        <w:pStyle w:val="a8"/>
        <w:widowControl w:val="0"/>
        <w:numPr>
          <w:ilvl w:val="0"/>
          <w:numId w:val="2"/>
        </w:numPr>
        <w:suppressAutoHyphens w:val="0"/>
        <w:jc w:val="both"/>
        <w:rPr>
          <w:rFonts w:asciiTheme="minorHAnsi" w:hAnsiTheme="minorHAnsi"/>
          <w:color w:val="1F4E79" w:themeColor="accent5" w:themeShade="80"/>
          <w:sz w:val="20"/>
          <w:szCs w:val="20"/>
          <w:lang w:val="el-GR"/>
        </w:rPr>
      </w:pPr>
      <w:r>
        <w:rPr>
          <w:rFonts w:asciiTheme="minorHAnsi" w:hAnsiTheme="minorHAnsi"/>
          <w:color w:val="1F4E79" w:themeColor="accent5" w:themeShade="80"/>
          <w:sz w:val="20"/>
          <w:szCs w:val="20"/>
          <w:lang w:val="el-GR"/>
        </w:rPr>
        <w:t>Εξασφάλιση της κοινωνικής βιωσιμότητας και συνοχής</w:t>
      </w:r>
    </w:p>
    <w:p w14:paraId="59432FD8" w14:textId="77777777" w:rsidR="0069570A" w:rsidRDefault="0069570A">
      <w:pPr>
        <w:jc w:val="both"/>
        <w:rPr>
          <w:rFonts w:asciiTheme="minorHAnsi" w:hAnsiTheme="minorHAnsi"/>
          <w:color w:val="1F4E79" w:themeColor="accent5" w:themeShade="80"/>
          <w:sz w:val="20"/>
          <w:szCs w:val="20"/>
          <w:lang w:val="el-GR"/>
        </w:rPr>
      </w:pPr>
    </w:p>
    <w:p w14:paraId="018F6011" w14:textId="77777777" w:rsidR="0069570A" w:rsidRDefault="00D61491">
      <w:pPr>
        <w:pStyle w:val="a8"/>
        <w:widowControl w:val="0"/>
        <w:numPr>
          <w:ilvl w:val="0"/>
          <w:numId w:val="2"/>
        </w:numPr>
        <w:suppressAutoHyphens w:val="0"/>
        <w:jc w:val="both"/>
        <w:rPr>
          <w:rFonts w:asciiTheme="minorHAnsi" w:hAnsiTheme="minorHAnsi"/>
          <w:color w:val="1F4E79" w:themeColor="accent5" w:themeShade="80"/>
          <w:sz w:val="20"/>
          <w:szCs w:val="20"/>
          <w:lang w:val="el-GR"/>
        </w:rPr>
      </w:pPr>
      <w:r>
        <w:rPr>
          <w:rFonts w:asciiTheme="minorHAnsi" w:hAnsiTheme="minorHAnsi"/>
          <w:color w:val="1F4E79" w:themeColor="accent5" w:themeShade="80"/>
          <w:sz w:val="20"/>
          <w:szCs w:val="20"/>
          <w:lang w:val="el-GR"/>
        </w:rPr>
        <w:t>Εφαρμογή των περιβαλλοντικά και οικονομικά βέλτιστων λύσεων</w:t>
      </w:r>
    </w:p>
    <w:p w14:paraId="7465238B" w14:textId="77777777" w:rsidR="0069570A" w:rsidRDefault="0069570A">
      <w:pPr>
        <w:jc w:val="both"/>
        <w:rPr>
          <w:rFonts w:asciiTheme="minorHAnsi" w:hAnsiTheme="minorHAnsi"/>
          <w:color w:val="1F4E79" w:themeColor="accent5" w:themeShade="80"/>
          <w:sz w:val="20"/>
          <w:szCs w:val="20"/>
          <w:lang w:val="el-GR"/>
        </w:rPr>
      </w:pPr>
    </w:p>
    <w:p w14:paraId="6711949D" w14:textId="12206037" w:rsidR="0069570A" w:rsidRDefault="00D61491">
      <w:pPr>
        <w:pStyle w:val="a8"/>
        <w:numPr>
          <w:ilvl w:val="0"/>
          <w:numId w:val="3"/>
        </w:numPr>
        <w:jc w:val="both"/>
        <w:rPr>
          <w:rFonts w:asciiTheme="minorHAnsi" w:hAnsiTheme="minorHAnsi" w:cs="Arial"/>
          <w:color w:val="1F4E79" w:themeColor="accent5" w:themeShade="80"/>
          <w:sz w:val="20"/>
          <w:szCs w:val="20"/>
          <w:lang w:val="el-GR"/>
        </w:rPr>
      </w:pPr>
      <w:r>
        <w:rPr>
          <w:rFonts w:asciiTheme="minorHAnsi" w:hAnsiTheme="minorHAnsi"/>
          <w:color w:val="1F4E79" w:themeColor="accent5" w:themeShade="80"/>
          <w:sz w:val="20"/>
          <w:szCs w:val="20"/>
        </w:rPr>
        <w:t>T</w:t>
      </w:r>
      <w:r>
        <w:rPr>
          <w:rFonts w:asciiTheme="minorHAnsi" w:hAnsiTheme="minorHAnsi"/>
          <w:color w:val="1F4E79" w:themeColor="accent5" w:themeShade="80"/>
          <w:sz w:val="20"/>
          <w:szCs w:val="20"/>
          <w:lang w:val="el-GR"/>
        </w:rPr>
        <w:t xml:space="preserve">ον συντονισμό των δράσεών μας αναλαμβάνει ο Δήμαρχος Χερσονήσου Ιωάννης Σέγκος και </w:t>
      </w:r>
      <w:r w:rsidRPr="00524CDB">
        <w:rPr>
          <w:rFonts w:asciiTheme="minorHAnsi" w:hAnsiTheme="minorHAnsi"/>
          <w:color w:val="1F4E79" w:themeColor="accent5" w:themeShade="80"/>
          <w:sz w:val="20"/>
          <w:szCs w:val="20"/>
          <w:lang w:val="el-GR"/>
        </w:rPr>
        <w:t xml:space="preserve">η Διευθύντρια </w:t>
      </w:r>
      <w:r w:rsidR="009826CE">
        <w:rPr>
          <w:rFonts w:asciiTheme="minorHAnsi" w:hAnsiTheme="minorHAnsi"/>
          <w:color w:val="1F4E79" w:themeColor="accent5" w:themeShade="80"/>
          <w:sz w:val="20"/>
          <w:szCs w:val="20"/>
          <w:lang w:val="el-GR"/>
        </w:rPr>
        <w:t>Τεχνικής Υπηρεσίας</w:t>
      </w:r>
      <w:r w:rsidRPr="00524CDB">
        <w:rPr>
          <w:rFonts w:asciiTheme="minorHAnsi" w:hAnsiTheme="minorHAnsi"/>
          <w:color w:val="1F4E79" w:themeColor="accent5" w:themeShade="80"/>
          <w:sz w:val="20"/>
          <w:szCs w:val="20"/>
          <w:lang w:val="el-GR"/>
        </w:rPr>
        <w:t xml:space="preserve"> Δήμου </w:t>
      </w:r>
      <w:r w:rsidR="009826CE">
        <w:rPr>
          <w:rFonts w:asciiTheme="minorHAnsi" w:hAnsiTheme="minorHAnsi"/>
          <w:color w:val="1F4E79" w:themeColor="accent5" w:themeShade="80"/>
          <w:sz w:val="20"/>
          <w:szCs w:val="20"/>
          <w:lang w:val="el-GR"/>
        </w:rPr>
        <w:t>Χερσονήσου</w:t>
      </w:r>
      <w:r w:rsidRPr="00524CDB">
        <w:rPr>
          <w:rFonts w:asciiTheme="minorHAnsi" w:hAnsiTheme="minorHAnsi"/>
          <w:color w:val="1F4E79" w:themeColor="accent5" w:themeShade="80"/>
          <w:sz w:val="20"/>
          <w:szCs w:val="20"/>
          <w:lang w:val="el-GR"/>
        </w:rPr>
        <w:t xml:space="preserve">, </w:t>
      </w:r>
      <w:r w:rsidRPr="00524CDB">
        <w:rPr>
          <w:rFonts w:asciiTheme="minorHAnsi" w:hAnsiTheme="minorHAnsi" w:cs="Arial"/>
          <w:color w:val="1F4E79" w:themeColor="accent5" w:themeShade="80"/>
          <w:sz w:val="20"/>
          <w:szCs w:val="20"/>
          <w:lang w:val="el-GR"/>
        </w:rPr>
        <w:t xml:space="preserve">Μαρία </w:t>
      </w:r>
      <w:r w:rsidR="009826CE">
        <w:rPr>
          <w:rFonts w:asciiTheme="minorHAnsi" w:hAnsiTheme="minorHAnsi" w:cs="Arial"/>
          <w:color w:val="1F4E79" w:themeColor="accent5" w:themeShade="80"/>
          <w:sz w:val="20"/>
          <w:szCs w:val="20"/>
          <w:lang w:val="el-GR"/>
        </w:rPr>
        <w:t>Πιταρίδη</w:t>
      </w:r>
      <w:r w:rsidRPr="00524CDB">
        <w:rPr>
          <w:rFonts w:asciiTheme="minorHAnsi" w:hAnsiTheme="minorHAnsi" w:cs="Arial"/>
          <w:color w:val="1F4E79" w:themeColor="accent5" w:themeShade="80"/>
          <w:sz w:val="20"/>
          <w:szCs w:val="20"/>
          <w:lang w:val="el-GR"/>
        </w:rPr>
        <w:t xml:space="preserve">, </w:t>
      </w:r>
      <w:r w:rsidR="00FA1F48">
        <w:rPr>
          <w:rFonts w:asciiTheme="minorHAnsi" w:hAnsiTheme="minorHAnsi" w:cs="Arial"/>
          <w:color w:val="1F4E79" w:themeColor="accent5" w:themeShade="80"/>
          <w:sz w:val="20"/>
          <w:szCs w:val="20"/>
          <w:lang w:val="el-GR"/>
        </w:rPr>
        <w:t>Πολιτικός Μηχανικός</w:t>
      </w:r>
      <w:bookmarkStart w:id="0" w:name="_GoBack"/>
      <w:bookmarkEnd w:id="0"/>
      <w:r>
        <w:rPr>
          <w:rFonts w:asciiTheme="minorHAnsi" w:hAnsiTheme="minorHAnsi" w:cs="Arial"/>
          <w:color w:val="1F4E79" w:themeColor="accent5" w:themeShade="80"/>
          <w:sz w:val="20"/>
          <w:szCs w:val="20"/>
          <w:lang w:val="el-GR"/>
        </w:rPr>
        <w:t xml:space="preserve">, </w:t>
      </w:r>
      <w:r>
        <w:rPr>
          <w:rFonts w:asciiTheme="minorHAnsi" w:hAnsiTheme="minorHAnsi"/>
          <w:color w:val="1F4E79" w:themeColor="accent5" w:themeShade="80"/>
          <w:sz w:val="20"/>
          <w:szCs w:val="20"/>
          <w:lang w:val="el-GR"/>
        </w:rPr>
        <w:t>σε συνεργασία</w:t>
      </w:r>
      <w:r>
        <w:rPr>
          <w:rFonts w:asciiTheme="minorHAnsi" w:hAnsiTheme="minorHAnsi" w:cs="Arial"/>
          <w:color w:val="1F4E79" w:themeColor="accent5" w:themeShade="80"/>
          <w:sz w:val="20"/>
          <w:szCs w:val="20"/>
          <w:lang w:val="el-GR"/>
        </w:rPr>
        <w:t xml:space="preserve"> </w:t>
      </w:r>
      <w:r>
        <w:rPr>
          <w:rFonts w:asciiTheme="minorHAnsi" w:hAnsiTheme="minorHAnsi"/>
          <w:color w:val="1F4E79" w:themeColor="accent5" w:themeShade="80"/>
          <w:sz w:val="20"/>
          <w:szCs w:val="20"/>
          <w:lang w:val="el-GR"/>
        </w:rPr>
        <w:t>με τους αρμόδιους υπαλλήλους των τμημάτων του Δήμου. Ορισμένη συντονίστρια (</w:t>
      </w:r>
      <w:r>
        <w:rPr>
          <w:rFonts w:asciiTheme="minorHAnsi" w:hAnsiTheme="minorHAnsi"/>
          <w:color w:val="1F4E79" w:themeColor="accent5" w:themeShade="80"/>
          <w:sz w:val="20"/>
          <w:szCs w:val="20"/>
        </w:rPr>
        <w:t>Project</w:t>
      </w:r>
      <w:r>
        <w:rPr>
          <w:rFonts w:asciiTheme="minorHAnsi" w:hAnsiTheme="minorHAnsi"/>
          <w:color w:val="1F4E79" w:themeColor="accent5" w:themeShade="80"/>
          <w:sz w:val="20"/>
          <w:szCs w:val="20"/>
          <w:lang w:val="el-GR"/>
        </w:rPr>
        <w:t xml:space="preserve"> </w:t>
      </w:r>
      <w:r>
        <w:rPr>
          <w:rFonts w:asciiTheme="minorHAnsi" w:hAnsiTheme="minorHAnsi"/>
          <w:color w:val="1F4E79" w:themeColor="accent5" w:themeShade="80"/>
          <w:sz w:val="20"/>
          <w:szCs w:val="20"/>
        </w:rPr>
        <w:t>Manager</w:t>
      </w:r>
      <w:r>
        <w:rPr>
          <w:rFonts w:asciiTheme="minorHAnsi" w:hAnsiTheme="minorHAnsi"/>
          <w:color w:val="1F4E79" w:themeColor="accent5" w:themeShade="80"/>
          <w:sz w:val="20"/>
          <w:szCs w:val="20"/>
          <w:lang w:val="el-GR"/>
        </w:rPr>
        <w:t xml:space="preserve">) αναλαμβάνει </w:t>
      </w:r>
      <w:r w:rsidRPr="00524CDB">
        <w:rPr>
          <w:rFonts w:asciiTheme="minorHAnsi" w:hAnsiTheme="minorHAnsi"/>
          <w:color w:val="1F4E79" w:themeColor="accent5" w:themeShade="80"/>
          <w:sz w:val="20"/>
          <w:szCs w:val="20"/>
          <w:lang w:val="el-GR"/>
        </w:rPr>
        <w:t xml:space="preserve">η Μαρία </w:t>
      </w:r>
      <w:r w:rsidR="00524CDB">
        <w:rPr>
          <w:rFonts w:asciiTheme="minorHAnsi" w:hAnsiTheme="minorHAnsi"/>
          <w:color w:val="1F4E79" w:themeColor="accent5" w:themeShade="80"/>
          <w:sz w:val="20"/>
          <w:szCs w:val="20"/>
          <w:lang w:val="el-GR"/>
        </w:rPr>
        <w:t>Φραγκιαδάκη</w:t>
      </w:r>
      <w:r w:rsidRPr="00524CDB">
        <w:rPr>
          <w:rFonts w:asciiTheme="minorHAnsi" w:hAnsiTheme="minorHAnsi"/>
          <w:color w:val="1F4E79" w:themeColor="accent5" w:themeShade="80"/>
          <w:sz w:val="20"/>
          <w:szCs w:val="20"/>
          <w:lang w:val="el-GR"/>
        </w:rPr>
        <w:t xml:space="preserve">, </w:t>
      </w:r>
      <w:r w:rsidR="00524CDB">
        <w:rPr>
          <w:rFonts w:asciiTheme="minorHAnsi" w:hAnsiTheme="minorHAnsi"/>
          <w:color w:val="1F4E79" w:themeColor="accent5" w:themeShade="80"/>
          <w:sz w:val="20"/>
          <w:szCs w:val="20"/>
          <w:lang w:val="el-GR"/>
        </w:rPr>
        <w:t>Μηχανικός Ηλεκτρονικών Υπολογιστών &amp; Πληροφορικής</w:t>
      </w:r>
      <w:r w:rsidRPr="00524CDB">
        <w:rPr>
          <w:rFonts w:asciiTheme="minorHAnsi" w:hAnsiTheme="minorHAnsi"/>
          <w:color w:val="1F4E79" w:themeColor="accent5" w:themeShade="80"/>
          <w:sz w:val="20"/>
          <w:szCs w:val="20"/>
          <w:lang w:val="el-GR"/>
        </w:rPr>
        <w:t xml:space="preserve">, </w:t>
      </w:r>
      <w:r w:rsidR="00524CDB">
        <w:rPr>
          <w:rFonts w:asciiTheme="minorHAnsi" w:hAnsiTheme="minorHAnsi"/>
          <w:color w:val="1F4E79" w:themeColor="accent5" w:themeShade="80"/>
          <w:sz w:val="20"/>
          <w:szCs w:val="20"/>
          <w:lang w:val="el-GR"/>
        </w:rPr>
        <w:t xml:space="preserve">Υπάλληλος του Τμήματος ΤΠΕ &amp; ΗΔ </w:t>
      </w:r>
      <w:r>
        <w:rPr>
          <w:rFonts w:asciiTheme="minorHAnsi" w:hAnsiTheme="minorHAnsi"/>
          <w:color w:val="1F4E79" w:themeColor="accent5" w:themeShade="80"/>
          <w:sz w:val="20"/>
          <w:szCs w:val="20"/>
          <w:lang w:val="el-GR"/>
        </w:rPr>
        <w:t>.</w:t>
      </w:r>
    </w:p>
    <w:p w14:paraId="287F3FDA" w14:textId="77777777" w:rsidR="0069570A" w:rsidRDefault="0069570A">
      <w:pPr>
        <w:jc w:val="both"/>
        <w:rPr>
          <w:rFonts w:asciiTheme="minorHAnsi" w:hAnsiTheme="minorHAnsi"/>
          <w:color w:val="1F4E79" w:themeColor="accent5" w:themeShade="80"/>
          <w:sz w:val="20"/>
          <w:szCs w:val="20"/>
          <w:lang w:val="el-GR"/>
        </w:rPr>
      </w:pPr>
    </w:p>
    <w:p w14:paraId="34C1487E" w14:textId="77777777" w:rsidR="0069570A" w:rsidRDefault="00D61491">
      <w:pPr>
        <w:pStyle w:val="a8"/>
        <w:numPr>
          <w:ilvl w:val="0"/>
          <w:numId w:val="3"/>
        </w:numPr>
        <w:jc w:val="both"/>
        <w:rPr>
          <w:rFonts w:asciiTheme="minorHAnsi" w:hAnsiTheme="minorHAnsi"/>
          <w:color w:val="1F4E79" w:themeColor="accent5" w:themeShade="80"/>
          <w:sz w:val="20"/>
          <w:szCs w:val="20"/>
          <w:lang w:val="el-GR"/>
        </w:rPr>
      </w:pPr>
      <w:r>
        <w:rPr>
          <w:rFonts w:asciiTheme="minorHAnsi" w:hAnsiTheme="minorHAnsi"/>
          <w:color w:val="1F4E79" w:themeColor="accent5" w:themeShade="80"/>
          <w:sz w:val="20"/>
          <w:szCs w:val="20"/>
          <w:lang w:val="el-GR"/>
        </w:rPr>
        <w:t xml:space="preserve">Κάθε ένας από τους φορείς ορίζει εκπρόσωπο και συμφωνεί να παρέχει απρόσκοπτα τα απαραίτητα στοιχεία και δεδομένα που απαιτούνται για τον σχεδιασμό και την υλοποίηση της Στρατηγικής Βιώσιμης Κινητικότητας - ΣΒΑΚ. </w:t>
      </w:r>
    </w:p>
    <w:p w14:paraId="7606C962" w14:textId="77777777" w:rsidR="0069570A" w:rsidRDefault="0069570A">
      <w:pPr>
        <w:jc w:val="both"/>
        <w:rPr>
          <w:rFonts w:asciiTheme="minorHAnsi" w:hAnsiTheme="minorHAnsi"/>
          <w:color w:val="1F4E79" w:themeColor="accent5" w:themeShade="80"/>
          <w:sz w:val="20"/>
          <w:szCs w:val="20"/>
          <w:lang w:val="el-GR"/>
        </w:rPr>
      </w:pPr>
    </w:p>
    <w:p w14:paraId="7D68BCF8" w14:textId="125B6128" w:rsidR="0069570A" w:rsidRDefault="00D61491">
      <w:pPr>
        <w:pStyle w:val="a8"/>
        <w:numPr>
          <w:ilvl w:val="0"/>
          <w:numId w:val="3"/>
        </w:numPr>
        <w:jc w:val="both"/>
        <w:rPr>
          <w:rFonts w:asciiTheme="minorHAnsi" w:hAnsiTheme="minorHAnsi"/>
          <w:color w:val="1F4E79" w:themeColor="accent5" w:themeShade="80"/>
          <w:sz w:val="20"/>
          <w:szCs w:val="20"/>
          <w:lang w:val="el-GR"/>
        </w:rPr>
      </w:pPr>
      <w:r>
        <w:rPr>
          <w:rFonts w:asciiTheme="minorHAnsi" w:hAnsiTheme="minorHAnsi"/>
          <w:color w:val="1F4E79" w:themeColor="accent5" w:themeShade="80"/>
          <w:sz w:val="20"/>
          <w:szCs w:val="20"/>
          <w:lang w:val="el-GR"/>
        </w:rPr>
        <w:t>Ο Δήμος Χερσονήσου, μπορεί κατά τη διάρκεια σχεδιασμού του ΣΒΑΚ, να ζητήσει συνεργασία από επιπλέον εξωτερικούς φορείς  με τους οποίους να ενισχύσει το Δίκτυο Φορέων. Περαιτέρω, μπορεί να ζητήσει τη συμβολή και γνώμη των κατά νόμο αρμοδίων υπηρεσιών.</w:t>
      </w:r>
    </w:p>
    <w:p w14:paraId="3626666A" w14:textId="77777777" w:rsidR="0069570A" w:rsidRDefault="0069570A">
      <w:pPr>
        <w:jc w:val="both"/>
        <w:rPr>
          <w:rFonts w:asciiTheme="minorHAnsi" w:hAnsiTheme="minorHAnsi"/>
          <w:color w:val="1F4E79" w:themeColor="accent5" w:themeShade="80"/>
          <w:sz w:val="20"/>
          <w:szCs w:val="20"/>
          <w:lang w:val="el-GR"/>
        </w:rPr>
      </w:pPr>
    </w:p>
    <w:p w14:paraId="7A33AEC5" w14:textId="77777777" w:rsidR="0069570A" w:rsidRDefault="00D61491">
      <w:pPr>
        <w:jc w:val="both"/>
        <w:rPr>
          <w:rFonts w:asciiTheme="minorHAnsi" w:hAnsiTheme="minorHAnsi"/>
          <w:color w:val="1F4E79" w:themeColor="accent5" w:themeShade="80"/>
          <w:sz w:val="20"/>
          <w:szCs w:val="20"/>
          <w:lang w:val="el-GR"/>
        </w:rPr>
      </w:pPr>
      <w:r>
        <w:rPr>
          <w:rFonts w:asciiTheme="minorHAnsi" w:hAnsiTheme="minorHAnsi"/>
          <w:color w:val="1F4E79" w:themeColor="accent5" w:themeShade="80"/>
          <w:sz w:val="20"/>
          <w:szCs w:val="20"/>
          <w:lang w:val="el-GR"/>
        </w:rPr>
        <w:t>Ειδικότερα ο σχεδιασμός στον οποίο δεσμευόμαστε, αποβλέπει σε μετακινήσεις που θα:</w:t>
      </w:r>
    </w:p>
    <w:p w14:paraId="2BC4B999" w14:textId="77777777" w:rsidR="0069570A" w:rsidRDefault="0069570A">
      <w:pPr>
        <w:jc w:val="both"/>
        <w:rPr>
          <w:rFonts w:asciiTheme="minorHAnsi" w:hAnsiTheme="minorHAnsi"/>
          <w:color w:val="1F4E79" w:themeColor="accent5" w:themeShade="80"/>
          <w:sz w:val="20"/>
          <w:szCs w:val="20"/>
          <w:lang w:val="el-GR"/>
        </w:rPr>
      </w:pPr>
    </w:p>
    <w:p w14:paraId="3510EA24" w14:textId="77777777" w:rsidR="0069570A" w:rsidRDefault="00D61491">
      <w:pPr>
        <w:pStyle w:val="a8"/>
        <w:widowControl w:val="0"/>
        <w:numPr>
          <w:ilvl w:val="0"/>
          <w:numId w:val="1"/>
        </w:numPr>
        <w:suppressAutoHyphens w:val="0"/>
        <w:jc w:val="both"/>
        <w:rPr>
          <w:rFonts w:asciiTheme="minorHAnsi" w:hAnsiTheme="minorHAnsi"/>
          <w:color w:val="1F4E79" w:themeColor="accent5" w:themeShade="80"/>
          <w:sz w:val="20"/>
          <w:szCs w:val="20"/>
          <w:lang w:val="el-GR"/>
        </w:rPr>
      </w:pPr>
      <w:r>
        <w:rPr>
          <w:rFonts w:asciiTheme="minorHAnsi" w:hAnsiTheme="minorHAnsi"/>
          <w:color w:val="1F4E79" w:themeColor="accent5" w:themeShade="80"/>
          <w:sz w:val="20"/>
          <w:szCs w:val="20"/>
          <w:lang w:val="el-GR"/>
        </w:rPr>
        <w:t xml:space="preserve">Είναι φιλικές στους μετακινούμενους κάθε είδους, εξασφαλίζοντας ισότιμη και απρόσκοπτη </w:t>
      </w:r>
      <w:r>
        <w:rPr>
          <w:rFonts w:asciiTheme="minorHAnsi" w:hAnsiTheme="minorHAnsi"/>
          <w:color w:val="1F4E79" w:themeColor="accent5" w:themeShade="80"/>
          <w:sz w:val="20"/>
          <w:szCs w:val="20"/>
          <w:lang w:val="el-GR"/>
        </w:rPr>
        <w:lastRenderedPageBreak/>
        <w:t>προσπέλαση και προσβασιμότητα για όλους και για διαδοχικές γενεές.</w:t>
      </w:r>
    </w:p>
    <w:p w14:paraId="64F32C76" w14:textId="09C619B2" w:rsidR="0069570A" w:rsidRDefault="00D61491">
      <w:pPr>
        <w:pStyle w:val="a8"/>
        <w:widowControl w:val="0"/>
        <w:numPr>
          <w:ilvl w:val="0"/>
          <w:numId w:val="1"/>
        </w:numPr>
        <w:suppressAutoHyphens w:val="0"/>
        <w:jc w:val="both"/>
        <w:rPr>
          <w:rFonts w:asciiTheme="minorHAnsi" w:hAnsiTheme="minorHAnsi"/>
          <w:color w:val="1F4E79" w:themeColor="accent5" w:themeShade="80"/>
          <w:sz w:val="20"/>
          <w:szCs w:val="20"/>
          <w:lang w:val="el-GR"/>
        </w:rPr>
      </w:pPr>
      <w:r>
        <w:rPr>
          <w:rFonts w:asciiTheme="minorHAnsi" w:hAnsiTheme="minorHAnsi"/>
          <w:color w:val="1F4E79" w:themeColor="accent5" w:themeShade="80"/>
          <w:sz w:val="20"/>
          <w:szCs w:val="20"/>
          <w:lang w:val="el-GR"/>
        </w:rPr>
        <w:t>Συμβάλλουν με τον βέλτιστο τρόπο στην εύρυθμη και ισορροπημένη ανάπτυξη και βιωσιμότητα της Χερσονήσου, τονώνουν την ελκυστικότητά της και αναβαθμίζουν την ποιότητα του αστικού περιβάλλοντος.</w:t>
      </w:r>
    </w:p>
    <w:p w14:paraId="5FFD8C59" w14:textId="77777777" w:rsidR="0069570A" w:rsidRDefault="00D61491">
      <w:pPr>
        <w:pStyle w:val="a8"/>
        <w:widowControl w:val="0"/>
        <w:numPr>
          <w:ilvl w:val="0"/>
          <w:numId w:val="1"/>
        </w:numPr>
        <w:suppressAutoHyphens w:val="0"/>
        <w:jc w:val="both"/>
        <w:rPr>
          <w:rFonts w:asciiTheme="minorHAnsi" w:hAnsiTheme="minorHAnsi"/>
          <w:color w:val="1F4E79" w:themeColor="accent5" w:themeShade="80"/>
          <w:sz w:val="20"/>
          <w:szCs w:val="20"/>
          <w:lang w:val="el-GR"/>
        </w:rPr>
      </w:pPr>
      <w:r>
        <w:rPr>
          <w:rFonts w:asciiTheme="minorHAnsi" w:hAnsiTheme="minorHAnsi"/>
          <w:color w:val="1F4E79" w:themeColor="accent5" w:themeShade="80"/>
          <w:sz w:val="20"/>
          <w:szCs w:val="20"/>
          <w:lang w:val="el-GR"/>
        </w:rPr>
        <w:t>Μέσω της χρησιμοποίησης ανανεώσιμων πηγών ενέργειας και της επιλογής φιλικών στο περιβάλλον μέσων μετακίνησης και μεταφορών οδηγούν στον περιορισμό της ενεργειακής κατανάλωσης, της παραγωγής αερίων του θερμοκηπίου και κάθε είδους ρύπων και αποβλήτων και ελαχιστοποιούν τις επιπτώσεις ως προς το θόρυβο και τη λειτουργία των διαφόρων δραστηριοτήτων.</w:t>
      </w:r>
    </w:p>
    <w:p w14:paraId="1CFE183D" w14:textId="77777777" w:rsidR="0069570A" w:rsidRDefault="00D61491">
      <w:pPr>
        <w:pStyle w:val="a8"/>
        <w:widowControl w:val="0"/>
        <w:numPr>
          <w:ilvl w:val="0"/>
          <w:numId w:val="1"/>
        </w:numPr>
        <w:suppressAutoHyphens w:val="0"/>
        <w:jc w:val="both"/>
        <w:rPr>
          <w:rFonts w:asciiTheme="minorHAnsi" w:hAnsiTheme="minorHAnsi"/>
          <w:color w:val="1F4E79" w:themeColor="accent5" w:themeShade="80"/>
          <w:sz w:val="20"/>
          <w:szCs w:val="20"/>
          <w:lang w:val="el-GR"/>
        </w:rPr>
      </w:pPr>
      <w:r>
        <w:rPr>
          <w:rFonts w:asciiTheme="minorHAnsi" w:hAnsiTheme="minorHAnsi"/>
          <w:color w:val="1F4E79" w:themeColor="accent5" w:themeShade="80"/>
          <w:sz w:val="20"/>
          <w:szCs w:val="20"/>
          <w:lang w:val="el-GR"/>
        </w:rPr>
        <w:t>Ενισχύουν την κοινωνική συνοχή και την αστική ασφάλεια, συμβάλλοντας στην κοινωνική δικαιοσύνη, στον περιορισμό των παραβατικών συμπεριφορών και των ατυχημάτων και στην προστασία της καλής υγείας των πολιτών.</w:t>
      </w:r>
    </w:p>
    <w:p w14:paraId="5AF490D5" w14:textId="77777777" w:rsidR="0069570A" w:rsidRDefault="00D61491">
      <w:pPr>
        <w:pStyle w:val="a8"/>
        <w:widowControl w:val="0"/>
        <w:numPr>
          <w:ilvl w:val="0"/>
          <w:numId w:val="1"/>
        </w:numPr>
        <w:suppressAutoHyphens w:val="0"/>
        <w:jc w:val="both"/>
        <w:rPr>
          <w:rFonts w:asciiTheme="minorHAnsi" w:hAnsiTheme="minorHAnsi"/>
          <w:color w:val="1F4E79" w:themeColor="accent5" w:themeShade="80"/>
          <w:sz w:val="20"/>
          <w:szCs w:val="20"/>
          <w:lang w:val="el-GR"/>
        </w:rPr>
      </w:pPr>
      <w:r>
        <w:rPr>
          <w:rFonts w:asciiTheme="minorHAnsi" w:hAnsiTheme="minorHAnsi"/>
          <w:color w:val="1F4E79" w:themeColor="accent5" w:themeShade="80"/>
          <w:sz w:val="20"/>
          <w:szCs w:val="20"/>
          <w:lang w:val="el-GR"/>
        </w:rPr>
        <w:t>Συμβάλλουν στην οικονομική ανάπτυξη, τονώνουν την ανταγωνιστικότητα και ενισχύουν την επιχειρηματικότητα εξασφαλίζοντας τη βέλτιστη πρόσβαση σε αγαθά και υπηρεσίες.</w:t>
      </w:r>
    </w:p>
    <w:p w14:paraId="73652FD1" w14:textId="77777777" w:rsidR="0069570A" w:rsidRDefault="00D61491">
      <w:pPr>
        <w:pStyle w:val="a8"/>
        <w:widowControl w:val="0"/>
        <w:numPr>
          <w:ilvl w:val="0"/>
          <w:numId w:val="1"/>
        </w:numPr>
        <w:suppressAutoHyphens w:val="0"/>
        <w:jc w:val="both"/>
        <w:rPr>
          <w:rFonts w:asciiTheme="minorHAnsi" w:hAnsiTheme="minorHAnsi"/>
          <w:color w:val="1F4E79" w:themeColor="accent5" w:themeShade="80"/>
          <w:sz w:val="20"/>
          <w:szCs w:val="20"/>
          <w:lang w:val="el-GR"/>
        </w:rPr>
      </w:pPr>
      <w:r>
        <w:rPr>
          <w:rFonts w:asciiTheme="minorHAnsi" w:hAnsiTheme="minorHAnsi"/>
          <w:color w:val="1F4E79" w:themeColor="accent5" w:themeShade="80"/>
          <w:sz w:val="20"/>
          <w:szCs w:val="20"/>
          <w:lang w:val="el-GR"/>
        </w:rPr>
        <w:t>Βελτιστοποιούν τη σχέση κόστους – οφέλους  των διαφόρων δικτύων.</w:t>
      </w:r>
    </w:p>
    <w:p w14:paraId="0BE8491C" w14:textId="77777777" w:rsidR="0069570A" w:rsidRDefault="00D61491">
      <w:pPr>
        <w:pStyle w:val="a8"/>
        <w:widowControl w:val="0"/>
        <w:numPr>
          <w:ilvl w:val="0"/>
          <w:numId w:val="1"/>
        </w:numPr>
        <w:suppressAutoHyphens w:val="0"/>
        <w:jc w:val="both"/>
        <w:rPr>
          <w:rFonts w:asciiTheme="minorHAnsi" w:hAnsiTheme="minorHAnsi"/>
          <w:color w:val="1F4E79" w:themeColor="accent5" w:themeShade="80"/>
          <w:sz w:val="20"/>
          <w:szCs w:val="20"/>
          <w:lang w:val="el-GR"/>
        </w:rPr>
      </w:pPr>
      <w:r>
        <w:rPr>
          <w:rFonts w:asciiTheme="minorHAnsi" w:hAnsiTheme="minorHAnsi"/>
          <w:color w:val="1F4E79" w:themeColor="accent5" w:themeShade="80"/>
          <w:sz w:val="20"/>
          <w:szCs w:val="20"/>
          <w:lang w:val="el-GR"/>
        </w:rPr>
        <w:t>Προωθούν μορφές ήπιας κυκλοφορίας, λύσεις «βιώσιμης διαχείρισης της κινητικότητας» και συλλογικής χρήσης των μεταφορικών μέσων.</w:t>
      </w:r>
    </w:p>
    <w:p w14:paraId="6949651A" w14:textId="77777777" w:rsidR="0069570A" w:rsidRDefault="00D61491">
      <w:pPr>
        <w:pStyle w:val="a8"/>
        <w:widowControl w:val="0"/>
        <w:numPr>
          <w:ilvl w:val="0"/>
          <w:numId w:val="1"/>
        </w:numPr>
        <w:suppressAutoHyphens w:val="0"/>
        <w:jc w:val="both"/>
        <w:rPr>
          <w:rFonts w:asciiTheme="minorHAnsi" w:hAnsiTheme="minorHAnsi"/>
          <w:color w:val="1F4E79" w:themeColor="accent5" w:themeShade="80"/>
          <w:sz w:val="20"/>
          <w:szCs w:val="20"/>
          <w:lang w:val="el-GR"/>
        </w:rPr>
      </w:pPr>
      <w:r>
        <w:rPr>
          <w:rFonts w:asciiTheme="minorHAnsi" w:hAnsiTheme="minorHAnsi"/>
          <w:color w:val="1F4E79" w:themeColor="accent5" w:themeShade="80"/>
          <w:sz w:val="20"/>
          <w:szCs w:val="20"/>
          <w:lang w:val="el-GR"/>
        </w:rPr>
        <w:t>Αξιοποιούν κατά το μέγιστο δυνατό βαθμό τους κοινόχρηστους χώρους προς όφελος της ποιότητας ζωής των πολιτών.</w:t>
      </w:r>
    </w:p>
    <w:p w14:paraId="3FB87D8C" w14:textId="77777777" w:rsidR="0069570A" w:rsidRDefault="0069570A">
      <w:pPr>
        <w:jc w:val="both"/>
        <w:rPr>
          <w:rFonts w:asciiTheme="minorHAnsi" w:hAnsiTheme="minorHAnsi"/>
          <w:color w:val="1F4E79" w:themeColor="accent5" w:themeShade="80"/>
          <w:sz w:val="20"/>
          <w:szCs w:val="20"/>
          <w:lang w:val="el-GR"/>
        </w:rPr>
      </w:pPr>
    </w:p>
    <w:p w14:paraId="23B53B4E" w14:textId="77777777" w:rsidR="0069570A" w:rsidRDefault="0069570A">
      <w:pPr>
        <w:jc w:val="both"/>
        <w:rPr>
          <w:rFonts w:asciiTheme="minorHAnsi" w:hAnsiTheme="minorHAnsi"/>
          <w:color w:val="1F4E79" w:themeColor="accent5" w:themeShade="80"/>
          <w:sz w:val="20"/>
          <w:szCs w:val="20"/>
          <w:lang w:val="el-GR"/>
        </w:rPr>
      </w:pPr>
    </w:p>
    <w:p w14:paraId="7AB0D1D6" w14:textId="77777777" w:rsidR="0069570A" w:rsidRDefault="0069570A">
      <w:pPr>
        <w:jc w:val="both"/>
        <w:rPr>
          <w:rFonts w:asciiTheme="minorHAnsi" w:hAnsiTheme="minorHAnsi"/>
          <w:color w:val="1F4E79" w:themeColor="accent5" w:themeShade="80"/>
          <w:sz w:val="20"/>
          <w:szCs w:val="20"/>
          <w:lang w:val="el-GR"/>
        </w:rPr>
      </w:pPr>
    </w:p>
    <w:p w14:paraId="6C6EE8EA" w14:textId="77777777" w:rsidR="0069570A" w:rsidRDefault="0069570A">
      <w:pPr>
        <w:jc w:val="both"/>
        <w:rPr>
          <w:rFonts w:asciiTheme="minorHAnsi" w:hAnsiTheme="minorHAnsi"/>
          <w:color w:val="1F4E79" w:themeColor="accent5" w:themeShade="80"/>
          <w:sz w:val="20"/>
          <w:szCs w:val="20"/>
          <w:lang w:val="el-GR"/>
        </w:rPr>
      </w:pPr>
    </w:p>
    <w:p w14:paraId="75EA41AE" w14:textId="64231D4F" w:rsidR="0069570A" w:rsidRDefault="00D61491">
      <w:pPr>
        <w:rPr>
          <w:rFonts w:asciiTheme="minorHAnsi" w:hAnsiTheme="minorHAnsi"/>
          <w:color w:val="1F4E79" w:themeColor="accent5" w:themeShade="80"/>
          <w:sz w:val="20"/>
          <w:szCs w:val="20"/>
          <w:lang w:val="el-GR"/>
        </w:rPr>
      </w:pPr>
      <w:r>
        <w:rPr>
          <w:rFonts w:asciiTheme="minorHAnsi" w:hAnsiTheme="minorHAnsi"/>
          <w:color w:val="1F4E79" w:themeColor="accent5" w:themeShade="80"/>
          <w:sz w:val="20"/>
          <w:szCs w:val="20"/>
          <w:lang w:val="el-GR"/>
        </w:rPr>
        <w:t>Από τον Δήμο Χερσονήσου</w:t>
      </w:r>
      <w:r>
        <w:rPr>
          <w:rFonts w:asciiTheme="minorHAnsi" w:hAnsiTheme="minorHAnsi"/>
          <w:color w:val="1F4E79" w:themeColor="accent5" w:themeShade="80"/>
          <w:sz w:val="20"/>
          <w:szCs w:val="20"/>
          <w:lang w:val="el-GR"/>
        </w:rPr>
        <w:tab/>
      </w:r>
      <w:r>
        <w:rPr>
          <w:rFonts w:asciiTheme="minorHAnsi" w:hAnsiTheme="minorHAnsi"/>
          <w:color w:val="1F4E79" w:themeColor="accent5" w:themeShade="80"/>
          <w:sz w:val="20"/>
          <w:szCs w:val="20"/>
          <w:lang w:val="el-GR"/>
        </w:rPr>
        <w:tab/>
      </w:r>
      <w:r>
        <w:rPr>
          <w:rFonts w:asciiTheme="minorHAnsi" w:hAnsiTheme="minorHAnsi"/>
          <w:color w:val="1F4E79" w:themeColor="accent5" w:themeShade="80"/>
          <w:sz w:val="20"/>
          <w:szCs w:val="20"/>
          <w:lang w:val="el-GR"/>
        </w:rPr>
        <w:tab/>
      </w:r>
      <w:r>
        <w:rPr>
          <w:rFonts w:asciiTheme="minorHAnsi" w:hAnsiTheme="minorHAnsi"/>
          <w:color w:val="1F4E79" w:themeColor="accent5" w:themeShade="80"/>
          <w:sz w:val="20"/>
          <w:szCs w:val="20"/>
          <w:lang w:val="el-GR"/>
        </w:rPr>
        <w:tab/>
      </w:r>
      <w:r>
        <w:rPr>
          <w:rFonts w:asciiTheme="minorHAnsi" w:hAnsiTheme="minorHAnsi"/>
          <w:color w:val="1F4E79" w:themeColor="accent5" w:themeShade="80"/>
          <w:sz w:val="20"/>
          <w:szCs w:val="20"/>
          <w:lang w:val="el-GR"/>
        </w:rPr>
        <w:tab/>
      </w:r>
      <w:r>
        <w:rPr>
          <w:rFonts w:asciiTheme="minorHAnsi" w:hAnsiTheme="minorHAnsi"/>
          <w:color w:val="1F4E79" w:themeColor="accent5" w:themeShade="80"/>
          <w:sz w:val="20"/>
          <w:szCs w:val="20"/>
          <w:lang w:val="el-GR"/>
        </w:rPr>
        <w:tab/>
        <w:t>Ο εκπρόσωπος του Φορέα</w:t>
      </w:r>
    </w:p>
    <w:p w14:paraId="36E6A6F9" w14:textId="77777777" w:rsidR="0069570A" w:rsidRDefault="0069570A">
      <w:pPr>
        <w:jc w:val="both"/>
        <w:rPr>
          <w:rFonts w:asciiTheme="minorHAnsi" w:hAnsiTheme="minorHAnsi"/>
          <w:color w:val="1F4E79" w:themeColor="accent5" w:themeShade="80"/>
          <w:sz w:val="20"/>
          <w:szCs w:val="20"/>
          <w:lang w:val="el-GR"/>
        </w:rPr>
      </w:pPr>
    </w:p>
    <w:p w14:paraId="49A0748D" w14:textId="77777777" w:rsidR="0069570A" w:rsidRDefault="0069570A">
      <w:pPr>
        <w:jc w:val="both"/>
        <w:rPr>
          <w:rFonts w:asciiTheme="minorHAnsi" w:hAnsiTheme="minorHAnsi"/>
          <w:sz w:val="22"/>
          <w:szCs w:val="22"/>
          <w:lang w:val="el-GR"/>
        </w:rPr>
      </w:pPr>
    </w:p>
    <w:p w14:paraId="2BA413C0" w14:textId="77777777" w:rsidR="0069570A" w:rsidRDefault="0069570A">
      <w:pPr>
        <w:jc w:val="both"/>
        <w:rPr>
          <w:rFonts w:asciiTheme="minorHAnsi" w:hAnsiTheme="minorHAnsi"/>
          <w:sz w:val="22"/>
          <w:szCs w:val="22"/>
          <w:lang w:val="el-GR"/>
        </w:rPr>
      </w:pPr>
    </w:p>
    <w:p w14:paraId="50966E03" w14:textId="77777777" w:rsidR="0069570A" w:rsidRDefault="0069570A">
      <w:pPr>
        <w:jc w:val="both"/>
        <w:rPr>
          <w:rFonts w:asciiTheme="minorHAnsi" w:hAnsiTheme="minorHAnsi"/>
          <w:sz w:val="22"/>
          <w:szCs w:val="22"/>
          <w:lang w:val="el-GR"/>
        </w:rPr>
      </w:pPr>
    </w:p>
    <w:p w14:paraId="36074AF2" w14:textId="77777777" w:rsidR="0069570A" w:rsidRDefault="0069570A">
      <w:pPr>
        <w:jc w:val="both"/>
        <w:rPr>
          <w:rFonts w:asciiTheme="minorHAnsi" w:hAnsiTheme="minorHAnsi"/>
          <w:sz w:val="22"/>
          <w:szCs w:val="22"/>
          <w:lang w:val="el-GR"/>
        </w:rPr>
      </w:pPr>
    </w:p>
    <w:p w14:paraId="50D3084B" w14:textId="77777777" w:rsidR="0069570A" w:rsidRDefault="0069570A">
      <w:pPr>
        <w:jc w:val="both"/>
        <w:rPr>
          <w:rFonts w:asciiTheme="minorHAnsi" w:hAnsiTheme="minorHAnsi"/>
          <w:sz w:val="22"/>
          <w:szCs w:val="22"/>
          <w:lang w:val="el-GR"/>
        </w:rPr>
      </w:pPr>
    </w:p>
    <w:p w14:paraId="4AF2120B" w14:textId="77777777" w:rsidR="0069570A" w:rsidRDefault="0069570A">
      <w:pPr>
        <w:jc w:val="both"/>
        <w:rPr>
          <w:rFonts w:asciiTheme="minorHAnsi" w:hAnsiTheme="minorHAnsi"/>
          <w:sz w:val="22"/>
          <w:szCs w:val="22"/>
          <w:lang w:val="el-GR"/>
        </w:rPr>
      </w:pPr>
    </w:p>
    <w:p w14:paraId="43AAFFF2" w14:textId="77777777" w:rsidR="0069570A" w:rsidRDefault="0069570A">
      <w:pPr>
        <w:jc w:val="both"/>
        <w:rPr>
          <w:rFonts w:asciiTheme="minorHAnsi" w:hAnsiTheme="minorHAnsi"/>
          <w:sz w:val="22"/>
          <w:szCs w:val="22"/>
          <w:lang w:val="el-GR"/>
        </w:rPr>
      </w:pPr>
    </w:p>
    <w:p w14:paraId="1229B97D" w14:textId="77777777" w:rsidR="0069570A" w:rsidRDefault="0069570A">
      <w:pPr>
        <w:jc w:val="both"/>
        <w:rPr>
          <w:rFonts w:asciiTheme="minorHAnsi" w:hAnsiTheme="minorHAnsi"/>
          <w:sz w:val="22"/>
          <w:szCs w:val="22"/>
          <w:lang w:val="el-GR"/>
        </w:rPr>
      </w:pPr>
    </w:p>
    <w:p w14:paraId="65BDAA54" w14:textId="77777777" w:rsidR="0069570A" w:rsidRDefault="0069570A">
      <w:pPr>
        <w:jc w:val="both"/>
        <w:rPr>
          <w:rFonts w:asciiTheme="minorHAnsi" w:hAnsiTheme="minorHAnsi"/>
          <w:sz w:val="22"/>
          <w:szCs w:val="22"/>
          <w:lang w:val="el-GR"/>
        </w:rPr>
      </w:pPr>
    </w:p>
    <w:p w14:paraId="383C4204" w14:textId="77777777" w:rsidR="0069570A" w:rsidRDefault="0069570A">
      <w:pPr>
        <w:jc w:val="both"/>
        <w:rPr>
          <w:rFonts w:asciiTheme="minorHAnsi" w:hAnsiTheme="minorHAnsi"/>
          <w:sz w:val="22"/>
          <w:szCs w:val="22"/>
          <w:lang w:val="el-GR"/>
        </w:rPr>
      </w:pPr>
    </w:p>
    <w:p w14:paraId="7ABD63B3" w14:textId="77777777" w:rsidR="0069570A" w:rsidRDefault="0069570A">
      <w:pPr>
        <w:jc w:val="both"/>
        <w:rPr>
          <w:rFonts w:asciiTheme="minorHAnsi" w:hAnsiTheme="minorHAnsi"/>
          <w:sz w:val="22"/>
          <w:szCs w:val="22"/>
          <w:lang w:val="el-GR"/>
        </w:rPr>
      </w:pPr>
    </w:p>
    <w:p w14:paraId="4EA6B879" w14:textId="77777777" w:rsidR="0069570A" w:rsidRDefault="0069570A">
      <w:pPr>
        <w:jc w:val="both"/>
        <w:rPr>
          <w:rFonts w:asciiTheme="minorHAnsi" w:hAnsiTheme="minorHAnsi"/>
          <w:sz w:val="22"/>
          <w:szCs w:val="22"/>
          <w:lang w:val="el-GR"/>
        </w:rPr>
      </w:pPr>
    </w:p>
    <w:p w14:paraId="6CFFC9E7" w14:textId="77777777" w:rsidR="0069570A" w:rsidRDefault="0069570A">
      <w:pPr>
        <w:jc w:val="both"/>
        <w:rPr>
          <w:rFonts w:asciiTheme="minorHAnsi" w:hAnsiTheme="minorHAnsi"/>
          <w:sz w:val="22"/>
          <w:szCs w:val="22"/>
          <w:lang w:val="el-GR"/>
        </w:rPr>
      </w:pPr>
    </w:p>
    <w:p w14:paraId="2BF19BDB" w14:textId="77777777" w:rsidR="0069570A" w:rsidRDefault="0069570A">
      <w:pPr>
        <w:jc w:val="both"/>
        <w:rPr>
          <w:rFonts w:asciiTheme="minorHAnsi" w:hAnsiTheme="minorHAnsi"/>
          <w:sz w:val="22"/>
          <w:szCs w:val="22"/>
          <w:lang w:val="el-GR"/>
        </w:rPr>
      </w:pPr>
    </w:p>
    <w:p w14:paraId="6EF4DAA0" w14:textId="77777777" w:rsidR="0069570A" w:rsidRDefault="0069570A">
      <w:pPr>
        <w:jc w:val="both"/>
        <w:rPr>
          <w:rFonts w:asciiTheme="minorHAnsi" w:hAnsiTheme="minorHAnsi"/>
          <w:sz w:val="22"/>
          <w:szCs w:val="22"/>
          <w:lang w:val="el-GR"/>
        </w:rPr>
      </w:pPr>
    </w:p>
    <w:p w14:paraId="42742390" w14:textId="77777777" w:rsidR="0069570A" w:rsidRDefault="0069570A">
      <w:pPr>
        <w:jc w:val="both"/>
        <w:rPr>
          <w:rFonts w:asciiTheme="minorHAnsi" w:hAnsiTheme="minorHAnsi"/>
          <w:sz w:val="22"/>
          <w:szCs w:val="22"/>
          <w:lang w:val="el-GR"/>
        </w:rPr>
      </w:pPr>
    </w:p>
    <w:p w14:paraId="7C851377" w14:textId="77777777" w:rsidR="0069570A" w:rsidRDefault="0069570A">
      <w:pPr>
        <w:jc w:val="both"/>
        <w:rPr>
          <w:rFonts w:asciiTheme="minorHAnsi" w:hAnsiTheme="minorHAnsi"/>
          <w:sz w:val="22"/>
          <w:szCs w:val="22"/>
          <w:lang w:val="el-GR"/>
        </w:rPr>
      </w:pPr>
    </w:p>
    <w:p w14:paraId="1848B95D" w14:textId="77777777" w:rsidR="0069570A" w:rsidRDefault="0069570A">
      <w:pPr>
        <w:jc w:val="both"/>
        <w:rPr>
          <w:rFonts w:asciiTheme="minorHAnsi" w:hAnsiTheme="minorHAnsi"/>
          <w:sz w:val="22"/>
          <w:szCs w:val="22"/>
          <w:lang w:val="el-GR"/>
        </w:rPr>
      </w:pPr>
    </w:p>
    <w:p w14:paraId="38FBE573" w14:textId="77777777" w:rsidR="0069570A" w:rsidRDefault="0069570A">
      <w:pPr>
        <w:jc w:val="both"/>
        <w:rPr>
          <w:rFonts w:asciiTheme="minorHAnsi" w:hAnsiTheme="minorHAnsi"/>
          <w:sz w:val="22"/>
          <w:szCs w:val="22"/>
          <w:lang w:val="el-GR"/>
        </w:rPr>
      </w:pPr>
    </w:p>
    <w:p w14:paraId="329E3D40" w14:textId="77777777" w:rsidR="0069570A" w:rsidRDefault="0069570A">
      <w:pPr>
        <w:jc w:val="both"/>
        <w:rPr>
          <w:rFonts w:asciiTheme="minorHAnsi" w:hAnsiTheme="minorHAnsi"/>
          <w:sz w:val="22"/>
          <w:szCs w:val="22"/>
          <w:lang w:val="el-GR"/>
        </w:rPr>
      </w:pPr>
    </w:p>
    <w:p w14:paraId="7BA09D3C" w14:textId="77777777" w:rsidR="0069570A" w:rsidRDefault="0069570A">
      <w:pPr>
        <w:jc w:val="both"/>
        <w:rPr>
          <w:rFonts w:asciiTheme="minorHAnsi" w:hAnsiTheme="minorHAnsi"/>
          <w:sz w:val="22"/>
          <w:szCs w:val="22"/>
          <w:lang w:val="el-GR"/>
        </w:rPr>
      </w:pPr>
    </w:p>
    <w:p w14:paraId="5BBCF098" w14:textId="77777777" w:rsidR="0069570A" w:rsidRPr="00D61491" w:rsidRDefault="0069570A">
      <w:pPr>
        <w:rPr>
          <w:lang w:val="el-GR"/>
        </w:rPr>
      </w:pPr>
    </w:p>
    <w:sectPr w:rsidR="0069570A" w:rsidRPr="00D61491">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6A97"/>
    <w:multiLevelType w:val="multilevel"/>
    <w:tmpl w:val="BCB61D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9C40EF"/>
    <w:multiLevelType w:val="multilevel"/>
    <w:tmpl w:val="B48860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6B763DB"/>
    <w:multiLevelType w:val="multilevel"/>
    <w:tmpl w:val="3222C6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FC4581F"/>
    <w:multiLevelType w:val="multilevel"/>
    <w:tmpl w:val="E1B205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0A"/>
    <w:rsid w:val="00524CDB"/>
    <w:rsid w:val="0069570A"/>
    <w:rsid w:val="009826CE"/>
    <w:rsid w:val="00D61491"/>
    <w:rsid w:val="00FA1F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3A1C"/>
  <w15:docId w15:val="{D750F2D1-198A-4509-99A3-60157A88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872"/>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a3">
    <w:name w:val="Επικεφαλίδα"/>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rPr>
  </w:style>
  <w:style w:type="paragraph" w:customStyle="1" w:styleId="a7">
    <w:name w:val="Ευρετήριο"/>
    <w:basedOn w:val="a"/>
    <w:qFormat/>
    <w:pPr>
      <w:suppressLineNumbers/>
    </w:pPr>
    <w:rPr>
      <w:rFonts w:cs="Arial"/>
    </w:rPr>
  </w:style>
  <w:style w:type="paragraph" w:styleId="a8">
    <w:name w:val="List Paragraph"/>
    <w:basedOn w:val="a"/>
    <w:uiPriority w:val="34"/>
    <w:qFormat/>
    <w:rsid w:val="007F4872"/>
    <w:pPr>
      <w:suppressAutoHyphens/>
      <w:ind w:left="720"/>
      <w:contextualSpacing/>
    </w:pPr>
    <w:rPr>
      <w:lang w:eastAsia="ar-SA"/>
    </w:rPr>
  </w:style>
  <w:style w:type="paragraph" w:customStyle="1" w:styleId="font7">
    <w:name w:val="font_7"/>
    <w:basedOn w:val="a"/>
    <w:qFormat/>
    <w:rsid w:val="007F4872"/>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682</Words>
  <Characters>3685</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dc:creator>
  <dc:description/>
  <cp:lastModifiedBy>fragiadaki</cp:lastModifiedBy>
  <cp:revision>7</cp:revision>
  <cp:lastPrinted>2019-12-09T06:08:00Z</cp:lastPrinted>
  <dcterms:created xsi:type="dcterms:W3CDTF">2018-11-27T16:04:00Z</dcterms:created>
  <dcterms:modified xsi:type="dcterms:W3CDTF">2019-12-09T07:46:00Z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