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5C1D" w14:textId="06F2FCBD" w:rsidR="009776EB" w:rsidRDefault="001F0BFC" w:rsidP="00575017">
      <w:pPr>
        <w:tabs>
          <w:tab w:val="right" w:pos="14582"/>
        </w:tabs>
        <w:spacing w:after="16"/>
        <w:ind w:left="0" w:right="0" w:firstLine="0"/>
      </w:pPr>
      <w:r>
        <w:t>ΔΗΜΟΣ ΧΕΡΣΟΝΗΣΟΥ</w:t>
      </w:r>
      <w:r>
        <w:tab/>
        <w:t>ΤΙΤΛΟΣ: ΑΠΟΚΟΜΙΔΗ ΑΠΟΡΡΙΜΜΑΤΩΝ ΚΑΙ ΚΑΘΑΡΙΟΤΗΤΑ ΚΟΙΝΟΧΡΗΣΤΩΝ ΧΩΡΩΝ ΔΗΜΟΥ</w:t>
      </w:r>
      <w:r w:rsidR="00575017" w:rsidRPr="00575017">
        <w:t xml:space="preserve"> </w:t>
      </w:r>
      <w:r>
        <w:t>ΧΕΡΣΟΝΗΣΟΥ</w:t>
      </w:r>
    </w:p>
    <w:p w14:paraId="32D69FA0" w14:textId="6EB6831B" w:rsidR="001F0BFC" w:rsidRDefault="001F0BFC" w:rsidP="00575017">
      <w:pPr>
        <w:tabs>
          <w:tab w:val="right" w:pos="14582"/>
        </w:tabs>
        <w:spacing w:after="16"/>
        <w:ind w:left="0" w:right="0" w:firstLine="0"/>
      </w:pPr>
    </w:p>
    <w:p w14:paraId="6AD095AC" w14:textId="77777777" w:rsidR="001F0BFC" w:rsidRDefault="001F0BFC" w:rsidP="00575017">
      <w:pPr>
        <w:tabs>
          <w:tab w:val="right" w:pos="14582"/>
        </w:tabs>
        <w:spacing w:after="16"/>
        <w:ind w:left="0" w:right="0" w:firstLine="0"/>
      </w:pPr>
      <w:bookmarkStart w:id="0" w:name="_GoBack"/>
      <w:bookmarkEnd w:id="0"/>
    </w:p>
    <w:p w14:paraId="59CFA3FE" w14:textId="77777777" w:rsidR="009776EB" w:rsidRDefault="001F0BFC">
      <w:pPr>
        <w:ind w:left="2" w:right="0" w:firstLine="0"/>
      </w:pPr>
      <w:r>
        <w:rPr>
          <w:sz w:val="21"/>
        </w:rPr>
        <w:t xml:space="preserve">Πίνακας ΠΡΟ-Β: </w:t>
      </w:r>
      <w:r>
        <w:rPr>
          <w:sz w:val="21"/>
        </w:rPr>
        <w:t>Ονομαστικές προσφερόμενες τιμές μηχανολογικού εξοπλισμού</w:t>
      </w:r>
      <w:r>
        <w:rPr>
          <w:sz w:val="21"/>
        </w:rPr>
        <w:t xml:space="preserve"> </w:t>
      </w:r>
      <w:r>
        <w:rPr>
          <w:sz w:val="21"/>
        </w:rPr>
        <w:t>(χωρίς ΦΠΑ)</w:t>
      </w:r>
    </w:p>
    <w:tbl>
      <w:tblPr>
        <w:tblStyle w:val="TableGrid"/>
        <w:tblW w:w="5000" w:type="pct"/>
        <w:tblInd w:w="0" w:type="dxa"/>
        <w:tblCellMar>
          <w:top w:w="53" w:type="dxa"/>
          <w:left w:w="3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2623"/>
        <w:gridCol w:w="2623"/>
        <w:gridCol w:w="2623"/>
        <w:gridCol w:w="2620"/>
      </w:tblGrid>
      <w:tr w:rsidR="009776EB" w14:paraId="5ABBC4B7" w14:textId="77777777" w:rsidTr="00575017">
        <w:trPr>
          <w:trHeight w:val="882"/>
        </w:trPr>
        <w:tc>
          <w:tcPr>
            <w:tcW w:w="1673" w:type="pct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DD330DA" w14:textId="77777777" w:rsidR="009776EB" w:rsidRDefault="001F0BFC">
            <w:pPr>
              <w:ind w:left="0" w:right="30" w:firstLine="0"/>
              <w:jc w:val="center"/>
            </w:pPr>
            <w:r>
              <w:rPr>
                <w:sz w:val="21"/>
              </w:rPr>
              <w:t>ΠΕΡΙΓΡΑΦΗ ΜΗΧΑΝΟΛΟΓΙΚΟΥ ΕΞΟΠΛΙΣΜΟΥ*</w:t>
            </w:r>
          </w:p>
        </w:tc>
        <w:tc>
          <w:tcPr>
            <w:tcW w:w="832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A05CC0C" w14:textId="77777777" w:rsidR="009776EB" w:rsidRDefault="001F0BFC">
            <w:pPr>
              <w:ind w:left="0" w:right="0" w:firstLine="0"/>
              <w:jc w:val="center"/>
            </w:pPr>
            <w:r>
              <w:rPr>
                <w:sz w:val="21"/>
              </w:rPr>
              <w:t>Συντ. παλαιότητας κόστους αγοράς</w:t>
            </w:r>
            <w:r>
              <w:rPr>
                <w:sz w:val="21"/>
                <w:vertAlign w:val="superscript"/>
              </w:rPr>
              <w:t>(1)</w:t>
            </w:r>
          </w:p>
        </w:tc>
        <w:tc>
          <w:tcPr>
            <w:tcW w:w="832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B71D2AF" w14:textId="77777777" w:rsidR="009776EB" w:rsidRDefault="001F0BFC">
            <w:pPr>
              <w:spacing w:after="76"/>
              <w:ind w:left="0" w:right="31" w:firstLine="0"/>
              <w:jc w:val="center"/>
            </w:pPr>
            <w:r>
              <w:rPr>
                <w:sz w:val="21"/>
              </w:rPr>
              <w:t xml:space="preserve">Παλαιότητα </w:t>
            </w:r>
          </w:p>
          <w:p w14:paraId="68AC53D2" w14:textId="77777777" w:rsidR="009776EB" w:rsidRDefault="001F0BFC">
            <w:pPr>
              <w:ind w:left="152" w:right="0" w:firstLine="0"/>
            </w:pPr>
            <w:r>
              <w:rPr>
                <w:sz w:val="21"/>
              </w:rPr>
              <w:t>εξοπλισμού</w:t>
            </w:r>
            <w:r>
              <w:rPr>
                <w:sz w:val="21"/>
                <w:vertAlign w:val="superscript"/>
              </w:rPr>
              <w:t>(2)</w:t>
            </w:r>
            <w:r>
              <w:rPr>
                <w:sz w:val="21"/>
              </w:rPr>
              <w:t xml:space="preserve">  </w:t>
            </w:r>
            <w:r>
              <w:rPr>
                <w:sz w:val="17"/>
              </w:rPr>
              <w:t>(μήνες)</w:t>
            </w:r>
          </w:p>
        </w:tc>
        <w:tc>
          <w:tcPr>
            <w:tcW w:w="832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6188DBC" w14:textId="77777777" w:rsidR="009776EB" w:rsidRDefault="001F0BFC">
            <w:pPr>
              <w:ind w:left="47" w:right="0" w:firstLine="0"/>
              <w:jc w:val="both"/>
            </w:pPr>
            <w:r>
              <w:rPr>
                <w:sz w:val="21"/>
              </w:rPr>
              <w:t>Ετήσια απόσβεση</w:t>
            </w:r>
            <w:r>
              <w:rPr>
                <w:sz w:val="21"/>
                <w:vertAlign w:val="superscript"/>
              </w:rPr>
              <w:t>(3)</w:t>
            </w:r>
            <w:r>
              <w:rPr>
                <w:sz w:val="21"/>
              </w:rPr>
              <w:t xml:space="preserve"> </w:t>
            </w:r>
            <w:r>
              <w:rPr>
                <w:sz w:val="17"/>
              </w:rPr>
              <w:t>(€)</w:t>
            </w:r>
          </w:p>
        </w:tc>
        <w:tc>
          <w:tcPr>
            <w:tcW w:w="832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shd w:val="clear" w:color="auto" w:fill="E7E6E6"/>
          </w:tcPr>
          <w:p w14:paraId="67023518" w14:textId="77777777" w:rsidR="009776EB" w:rsidRDefault="001F0BFC">
            <w:pPr>
              <w:ind w:left="0" w:right="0" w:firstLine="0"/>
              <w:jc w:val="center"/>
            </w:pPr>
            <w:r>
              <w:rPr>
                <w:sz w:val="21"/>
              </w:rPr>
              <w:t xml:space="preserve">Προσφερόμενη ετήσια </w:t>
            </w:r>
            <w:proofErr w:type="spellStart"/>
            <w:r>
              <w:rPr>
                <w:sz w:val="21"/>
              </w:rPr>
              <w:t>μοναδιαία</w:t>
            </w:r>
            <w:proofErr w:type="spellEnd"/>
            <w:r>
              <w:rPr>
                <w:sz w:val="21"/>
              </w:rPr>
              <w:t xml:space="preserve"> τιμή </w:t>
            </w:r>
            <w:r>
              <w:rPr>
                <w:sz w:val="21"/>
                <w:vertAlign w:val="superscript"/>
              </w:rPr>
              <w:t>(4)</w:t>
            </w:r>
          </w:p>
        </w:tc>
      </w:tr>
      <w:tr w:rsidR="009776EB" w14:paraId="677F44FC" w14:textId="77777777" w:rsidTr="00575017">
        <w:trPr>
          <w:trHeight w:val="27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0768901" w14:textId="77777777" w:rsidR="009776EB" w:rsidRDefault="001F0BFC">
            <w:pPr>
              <w:ind w:left="0" w:right="33" w:firstLine="0"/>
              <w:jc w:val="center"/>
            </w:pPr>
            <w:r>
              <w:rPr>
                <w:sz w:val="21"/>
              </w:rPr>
              <w:t>[1]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E72D41E" w14:textId="77777777" w:rsidR="009776EB" w:rsidRDefault="001F0BFC">
            <w:pPr>
              <w:ind w:left="0" w:right="34" w:firstLine="0"/>
              <w:jc w:val="center"/>
            </w:pPr>
            <w:r>
              <w:rPr>
                <w:sz w:val="21"/>
              </w:rPr>
              <w:t>[2]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64033F9" w14:textId="77777777" w:rsidR="009776EB" w:rsidRDefault="001F0BFC">
            <w:pPr>
              <w:ind w:left="0" w:right="36" w:firstLine="0"/>
              <w:jc w:val="center"/>
            </w:pPr>
            <w:r>
              <w:rPr>
                <w:sz w:val="21"/>
              </w:rPr>
              <w:t>[3]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816D6AF" w14:textId="77777777" w:rsidR="009776EB" w:rsidRDefault="001F0BFC">
            <w:pPr>
              <w:ind w:left="0" w:right="33" w:firstLine="0"/>
              <w:jc w:val="center"/>
            </w:pPr>
            <w:r>
              <w:rPr>
                <w:sz w:val="21"/>
              </w:rPr>
              <w:t>[4]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shd w:val="clear" w:color="auto" w:fill="E7E6E6"/>
          </w:tcPr>
          <w:p w14:paraId="2F36E1C0" w14:textId="77777777" w:rsidR="009776EB" w:rsidRDefault="001F0BFC">
            <w:pPr>
              <w:ind w:left="0" w:right="35" w:firstLine="0"/>
              <w:jc w:val="center"/>
            </w:pPr>
            <w:r>
              <w:rPr>
                <w:sz w:val="21"/>
              </w:rPr>
              <w:t>[5]&lt;=[4]</w:t>
            </w:r>
          </w:p>
        </w:tc>
      </w:tr>
      <w:tr w:rsidR="009776EB" w14:paraId="2CAEBC3B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8866745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Απορριμματοφόρο 22κμ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6EDF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E52AE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6A5D1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66141D23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2D7EA236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677E838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Απορριμματοφόρο 16κμ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7C72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DB90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1D4FD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0464E3AA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313BEE15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E21C6F5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Απορριμματοφόρο 16κμ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 ή II)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AA0F0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DB72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9076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12C1D603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7F027E05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3296FEC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Απορριμματοφόρο 2-3κμ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97D6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8C42E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17F1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03F23C5D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7CDE0B95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DA97589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Απορριμματοφόρο 1,5-2κμ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EDC05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B57BA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3EFB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18D9F6CE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5C5FB738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D6F4FA8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Πλυντήριο κάδων 6κμ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DC09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36CA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9DFA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7FF45B4E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197F8B94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F04D129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Πλυντήριο κάδων 3-4κμ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E85C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702C9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D267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081E9D27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5AF8C9AB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D1A7F43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Μηχανοκίνητο σάρωθρο 6κμ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06A8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224A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40C3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5E721E14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40D877A9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55D8E40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Μηχανοκίνητο σάρωθρο 7-8κμ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DAA8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3BB9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CFC6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61A98ECF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7A16DBA0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B736DC7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 xml:space="preserve">Φορτηγό </w:t>
            </w:r>
            <w:proofErr w:type="spellStart"/>
            <w:r>
              <w:rPr>
                <w:sz w:val="21"/>
              </w:rPr>
              <w:t>μ.β</w:t>
            </w:r>
            <w:proofErr w:type="spellEnd"/>
            <w:r>
              <w:rPr>
                <w:sz w:val="21"/>
              </w:rPr>
              <w:t xml:space="preserve"> 3,5tn (</w:t>
            </w:r>
            <w:proofErr w:type="spellStart"/>
            <w:r>
              <w:rPr>
                <w:sz w:val="21"/>
              </w:rPr>
              <w:t>Κατ.I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4DE7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4BE5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53C7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587ACCFD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01C670E0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9F48189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 xml:space="preserve">Μικρός φορτωτής τύπου </w:t>
            </w:r>
            <w:proofErr w:type="spellStart"/>
            <w:r>
              <w:rPr>
                <w:sz w:val="21"/>
              </w:rPr>
              <w:t>bobcat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III)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A3AB7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3F11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5F0B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7AAE0A1A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7BF169CE" w14:textId="77777777" w:rsidTr="00575017">
        <w:trPr>
          <w:trHeight w:val="386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4E4E45E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 xml:space="preserve">Φορτηγό </w:t>
            </w:r>
            <w:proofErr w:type="spellStart"/>
            <w:r>
              <w:rPr>
                <w:sz w:val="21"/>
              </w:rPr>
              <w:t>μ.β</w:t>
            </w:r>
            <w:proofErr w:type="spellEnd"/>
            <w:r>
              <w:rPr>
                <w:sz w:val="21"/>
              </w:rPr>
              <w:t xml:space="preserve"> 20tn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III)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9BD52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D519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DF8B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723BD1ED" w14:textId="77777777" w:rsidR="009776EB" w:rsidRDefault="009776EB">
            <w:pPr>
              <w:spacing w:after="160"/>
              <w:ind w:left="0" w:right="0" w:firstLine="0"/>
            </w:pPr>
          </w:p>
        </w:tc>
      </w:tr>
      <w:tr w:rsidR="009776EB" w14:paraId="69AF03CC" w14:textId="77777777" w:rsidTr="00575017">
        <w:trPr>
          <w:trHeight w:val="388"/>
        </w:trPr>
        <w:tc>
          <w:tcPr>
            <w:tcW w:w="1673" w:type="pct"/>
            <w:tcBorders>
              <w:top w:val="single" w:sz="8" w:space="0" w:color="000000"/>
              <w:left w:val="single" w:sz="22" w:space="0" w:color="000000"/>
              <w:bottom w:val="single" w:sz="22" w:space="0" w:color="000000"/>
              <w:right w:val="single" w:sz="8" w:space="0" w:color="000000"/>
            </w:tcBorders>
            <w:shd w:val="clear" w:color="auto" w:fill="E7E6E6"/>
          </w:tcPr>
          <w:p w14:paraId="7774F5A6" w14:textId="77777777" w:rsidR="009776EB" w:rsidRDefault="001F0BFC">
            <w:pPr>
              <w:ind w:left="0" w:right="0" w:firstLine="0"/>
            </w:pPr>
            <w:r>
              <w:rPr>
                <w:sz w:val="21"/>
              </w:rPr>
              <w:t>Εφεδρικό απορριμματοφόρο 16κμ (</w:t>
            </w:r>
            <w:proofErr w:type="spellStart"/>
            <w:r>
              <w:rPr>
                <w:sz w:val="21"/>
              </w:rPr>
              <w:t>Κατ</w:t>
            </w:r>
            <w:proofErr w:type="spellEnd"/>
            <w:r>
              <w:rPr>
                <w:sz w:val="21"/>
              </w:rPr>
              <w:t>. I ή II)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</w:tcPr>
          <w:p w14:paraId="5D00DE35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</w:tcPr>
          <w:p w14:paraId="05598FAB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</w:tcPr>
          <w:p w14:paraId="57E942A0" w14:textId="77777777" w:rsidR="009776EB" w:rsidRDefault="009776EB">
            <w:pPr>
              <w:spacing w:after="160"/>
              <w:ind w:left="0" w:right="0" w:firstLine="0"/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22" w:space="0" w:color="000000"/>
            </w:tcBorders>
          </w:tcPr>
          <w:p w14:paraId="2AADD41C" w14:textId="77777777" w:rsidR="009776EB" w:rsidRDefault="009776EB">
            <w:pPr>
              <w:spacing w:after="160"/>
              <w:ind w:left="0" w:right="0" w:firstLine="0"/>
            </w:pPr>
          </w:p>
        </w:tc>
      </w:tr>
    </w:tbl>
    <w:p w14:paraId="7A3189D7" w14:textId="77777777" w:rsidR="009776EB" w:rsidRDefault="001F0BFC">
      <w:pPr>
        <w:pStyle w:val="1"/>
      </w:pPr>
      <w:r>
        <w:t>Παρατηρήσεις</w:t>
      </w:r>
    </w:p>
    <w:p w14:paraId="5981EA0D" w14:textId="77777777" w:rsidR="009776EB" w:rsidRDefault="001F0BFC">
      <w:pPr>
        <w:spacing w:after="34"/>
      </w:pPr>
      <w:r>
        <w:t>•</w:t>
      </w:r>
      <w:r>
        <w:t>Τα γραμμοσκιασμένα πεδία δεν συμπληρώνονται και δεν τροποποιούνται από τον ενδιαφερόμενο *Κατηγορίες εξοπλισμού:</w:t>
      </w:r>
    </w:p>
    <w:p w14:paraId="67FCD2C1" w14:textId="77777777" w:rsidR="009776EB" w:rsidRDefault="001F0BFC">
      <w:pPr>
        <w:spacing w:after="33"/>
        <w:ind w:right="10344"/>
      </w:pPr>
      <w:proofErr w:type="spellStart"/>
      <w:r>
        <w:t>Κατ</w:t>
      </w:r>
      <w:proofErr w:type="spellEnd"/>
      <w:r>
        <w:t xml:space="preserve">. I: κατηγορία εκπεμπόμενων ρύπων </w:t>
      </w:r>
      <w:proofErr w:type="spellStart"/>
      <w:r>
        <w:t>Euro</w:t>
      </w:r>
      <w:proofErr w:type="spellEnd"/>
      <w:r>
        <w:t xml:space="preserve"> VI(6) </w:t>
      </w:r>
      <w:proofErr w:type="spellStart"/>
      <w:r>
        <w:t>Κατ</w:t>
      </w:r>
      <w:proofErr w:type="spellEnd"/>
      <w:r>
        <w:t xml:space="preserve">. II: κατηγορία εκπεμπόμενων ρύπων </w:t>
      </w:r>
      <w:proofErr w:type="spellStart"/>
      <w:r>
        <w:t>Euro</w:t>
      </w:r>
      <w:proofErr w:type="spellEnd"/>
      <w:r>
        <w:t xml:space="preserve"> V(5)</w:t>
      </w:r>
    </w:p>
    <w:p w14:paraId="692E34BD" w14:textId="77777777" w:rsidR="009776EB" w:rsidRDefault="001F0BFC">
      <w:pPr>
        <w:ind w:right="0"/>
      </w:pPr>
      <w:proofErr w:type="spellStart"/>
      <w:r>
        <w:t>Κατ</w:t>
      </w:r>
      <w:proofErr w:type="spellEnd"/>
      <w:r>
        <w:t>. III: οποιαδήποτε κατηγορία εκπεμπόμενων ρύ</w:t>
      </w:r>
      <w:r>
        <w:t>πων</w:t>
      </w:r>
    </w:p>
    <w:p w14:paraId="2CAA35D1" w14:textId="77777777" w:rsidR="009776EB" w:rsidRDefault="001F0BFC">
      <w:pPr>
        <w:ind w:left="-5" w:right="0"/>
      </w:pPr>
      <w:r>
        <w:rPr>
          <w:sz w:val="13"/>
        </w:rPr>
        <w:t>(1)</w:t>
      </w:r>
    </w:p>
    <w:p w14:paraId="18DF4FC5" w14:textId="77777777" w:rsidR="009776EB" w:rsidRDefault="001F0BFC">
      <w:pPr>
        <w:ind w:left="137" w:right="0"/>
      </w:pPr>
      <w:r>
        <w:t xml:space="preserve"> Επιλέγεται από τον Πίνακα 2.1Α του προϋπολογισμού της υπ' </w:t>
      </w:r>
      <w:proofErr w:type="spellStart"/>
      <w:r>
        <w:t>αριθμ</w:t>
      </w:r>
      <w:proofErr w:type="spellEnd"/>
      <w:r>
        <w:t>. ΔΠΕ20/2019 μελέτης</w:t>
      </w:r>
    </w:p>
    <w:p w14:paraId="4A03FEEC" w14:textId="77777777" w:rsidR="009776EB" w:rsidRDefault="001F0BFC">
      <w:pPr>
        <w:ind w:left="-5" w:right="0"/>
      </w:pPr>
      <w:r>
        <w:rPr>
          <w:sz w:val="13"/>
        </w:rPr>
        <w:t>(2)</w:t>
      </w:r>
    </w:p>
    <w:p w14:paraId="16579315" w14:textId="77777777" w:rsidR="009776EB" w:rsidRDefault="001F0BFC">
      <w:pPr>
        <w:ind w:left="137" w:right="0"/>
      </w:pPr>
      <w:r>
        <w:t xml:space="preserve"> Συμπληρώνεται η παλαιότητα του μέσου κατά την ημερομηνία του διαγωνισμού. Διαστήματα μεγαλύτερα των (15) ημερών λογίζονται ως πλήρης μήνας. </w:t>
      </w:r>
    </w:p>
    <w:p w14:paraId="38B23CF5" w14:textId="77777777" w:rsidR="009776EB" w:rsidRDefault="001F0BFC">
      <w:pPr>
        <w:ind w:left="-5" w:right="0"/>
      </w:pPr>
      <w:r>
        <w:rPr>
          <w:sz w:val="13"/>
        </w:rPr>
        <w:t>(3)</w:t>
      </w:r>
    </w:p>
    <w:p w14:paraId="28D962EA" w14:textId="77777777" w:rsidR="009776EB" w:rsidRDefault="001F0BFC">
      <w:pPr>
        <w:ind w:left="137" w:right="0"/>
      </w:pPr>
      <w:r>
        <w:lastRenderedPageBreak/>
        <w:t xml:space="preserve"> Οι τιμές μεταφέρονται από τον πίνακα ΠΡΟ-Β1.</w:t>
      </w:r>
    </w:p>
    <w:p w14:paraId="36B471AB" w14:textId="77777777" w:rsidR="009776EB" w:rsidRDefault="001F0BFC">
      <w:pPr>
        <w:ind w:left="-5" w:right="0"/>
      </w:pPr>
      <w:r>
        <w:rPr>
          <w:sz w:val="13"/>
        </w:rPr>
        <w:t>(4)</w:t>
      </w:r>
    </w:p>
    <w:p w14:paraId="43796B9D" w14:textId="77777777" w:rsidR="009776EB" w:rsidRDefault="001F0BFC">
      <w:pPr>
        <w:spacing w:after="39"/>
        <w:ind w:left="137" w:right="0"/>
      </w:pPr>
      <w:r>
        <w:t xml:space="preserve"> Οι τιμές μεταφέρονται στον πίνακα ΠΡΟ-Γ. Πρέπει να είναι μικρότερες ή ίσες με τις αντίστοιχες τιμές της στήλης [4].</w:t>
      </w:r>
    </w:p>
    <w:p w14:paraId="24222C3F" w14:textId="77777777" w:rsidR="009776EB" w:rsidRDefault="001F0BFC">
      <w:pPr>
        <w:spacing w:after="8"/>
        <w:ind w:left="2465" w:right="0" w:firstLine="0"/>
        <w:jc w:val="center"/>
      </w:pPr>
      <w:r>
        <w:rPr>
          <w:sz w:val="21"/>
        </w:rPr>
        <w:t>Ημερομηνία …...../…..../20…..</w:t>
      </w:r>
    </w:p>
    <w:p w14:paraId="4E0827EE" w14:textId="77777777" w:rsidR="009776EB" w:rsidRDefault="001F0BFC">
      <w:pPr>
        <w:ind w:left="2464" w:right="0" w:firstLine="0"/>
        <w:jc w:val="center"/>
      </w:pPr>
      <w:r>
        <w:rPr>
          <w:sz w:val="21"/>
        </w:rPr>
        <w:t>Ο ΠΡΟΣΦΕΡΩΝ</w:t>
      </w:r>
    </w:p>
    <w:sectPr w:rsidR="009776EB" w:rsidSect="00575017">
      <w:pgSz w:w="16838" w:h="11906" w:orient="landscape" w:code="9"/>
      <w:pgMar w:top="510" w:right="510" w:bottom="510" w:left="510" w:header="34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EB"/>
    <w:rsid w:val="001F0BFC"/>
    <w:rsid w:val="00575017"/>
    <w:rsid w:val="009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65DA"/>
  <w15:docId w15:val="{BBF805EF-9041-4662-9390-413A7170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" w:right="5874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6"/>
      <w:outlineLvl w:val="0"/>
    </w:pPr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51797794B2D3F40A8978524CC2023C2" ma:contentTypeVersion="6" ma:contentTypeDescription="Δημιουργία νέου εγγράφου" ma:contentTypeScope="" ma:versionID="0973baa7e9e55e70448f1a11cc4b3cf7">
  <xsd:schema xmlns:xsd="http://www.w3.org/2001/XMLSchema" xmlns:xs="http://www.w3.org/2001/XMLSchema" xmlns:p="http://schemas.microsoft.com/office/2006/metadata/properties" xmlns:ns3="b73d47bc-1bb7-4e68-83a7-0344094e5002" targetNamespace="http://schemas.microsoft.com/office/2006/metadata/properties" ma:root="true" ma:fieldsID="d31471df0cb824a403a8f209a4ca2f1a" ns3:_="">
    <xsd:import namespace="b73d47bc-1bb7-4e68-83a7-0344094e5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47bc-1bb7-4e68-83a7-0344094e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D9734-B2FD-4553-9E16-0D5D551AF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47bc-1bb7-4e68-83a7-0344094e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4C131-FF19-4127-833B-2E9FC1DA7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F03E6-1666-43E8-AC55-B52CC979757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b73d47bc-1bb7-4e68-83a7-0344094e5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Ï—ÎµÎ»Î¹ÎºÎ± Ï…ÎºÎ¿Ï–Ï•Î¹Î´Î¹Î± 2019-ÎœÎŁÎ¤Î‚ ÎﬂÎ£-Î´Ï•Îµ20_19.xlsx</dc:title>
  <dc:subject/>
  <dc:creator>skaso</dc:creator>
  <cp:keywords/>
  <cp:lastModifiedBy>na</cp:lastModifiedBy>
  <cp:revision>3</cp:revision>
  <dcterms:created xsi:type="dcterms:W3CDTF">2019-12-16T08:14:00Z</dcterms:created>
  <dcterms:modified xsi:type="dcterms:W3CDTF">2019-12-16T08:14:00Z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0x010100551797794B2D3F40A8978524CC2023C2</vt:lpwstr>
  </property>
</Properties>
</file>